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3B87" w14:textId="77777777" w:rsidR="001B5C38" w:rsidRDefault="001B5C38" w:rsidP="001B5C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OSAP 1229 </w:t>
      </w:r>
      <w:r w:rsidRPr="008C59F1">
        <w:rPr>
          <w:b/>
        </w:rPr>
        <w:t>hatósági statisztika</w:t>
      </w:r>
      <w:r w:rsidR="00E66418">
        <w:rPr>
          <w:rFonts w:ascii="Arial" w:hAnsi="Arial" w:cs="Arial"/>
          <w:b/>
          <w:sz w:val="20"/>
          <w:szCs w:val="20"/>
        </w:rPr>
        <w:t>, 2024</w:t>
      </w:r>
      <w:r>
        <w:rPr>
          <w:rFonts w:ascii="Arial" w:hAnsi="Arial" w:cs="Arial"/>
          <w:b/>
          <w:sz w:val="20"/>
          <w:szCs w:val="20"/>
        </w:rPr>
        <w:t>. évi adatgyűjtés</w:t>
      </w:r>
    </w:p>
    <w:p w14:paraId="626059FF" w14:textId="77777777" w:rsidR="001B5C38" w:rsidRDefault="001B5C38" w:rsidP="001B5C3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5696F12" w14:textId="77777777" w:rsidR="001B5C38" w:rsidRDefault="001B5C38" w:rsidP="001B5C3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8D6C5E7" w14:textId="77777777" w:rsidR="001B5C38" w:rsidRDefault="001B5C38" w:rsidP="001B5C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50087">
        <w:rPr>
          <w:rFonts w:ascii="Arial" w:hAnsi="Arial" w:cs="Arial"/>
          <w:b/>
          <w:sz w:val="20"/>
          <w:szCs w:val="20"/>
        </w:rPr>
        <w:t>TÁJÉKOZTATÓ</w:t>
      </w:r>
    </w:p>
    <w:p w14:paraId="427309E2" w14:textId="77777777" w:rsidR="001B5C38" w:rsidRPr="00650087" w:rsidRDefault="001B5C38" w:rsidP="001B5C3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4EEA35" w14:textId="77777777" w:rsidR="001B5C38" w:rsidRDefault="001B5C38" w:rsidP="001B5C3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Pr="00650087">
        <w:rPr>
          <w:rFonts w:ascii="Arial" w:hAnsi="Arial" w:cs="Arial"/>
          <w:b/>
          <w:sz w:val="20"/>
          <w:szCs w:val="20"/>
        </w:rPr>
        <w:t xml:space="preserve"> </w:t>
      </w:r>
      <w:r w:rsidRPr="00650087">
        <w:rPr>
          <w:rFonts w:ascii="Arial" w:hAnsi="Arial" w:cs="Arial"/>
          <w:b/>
          <w:bCs/>
          <w:color w:val="000000"/>
          <w:sz w:val="20"/>
          <w:szCs w:val="20"/>
        </w:rPr>
        <w:t xml:space="preserve">fővárosi és </w:t>
      </w:r>
      <w:r>
        <w:rPr>
          <w:rFonts w:ascii="Arial" w:hAnsi="Arial" w:cs="Arial"/>
          <w:b/>
          <w:bCs/>
          <w:color w:val="000000"/>
          <w:sz w:val="20"/>
          <w:szCs w:val="20"/>
        </w:rPr>
        <w:t>vár</w:t>
      </w:r>
      <w:r w:rsidRPr="00650087">
        <w:rPr>
          <w:rFonts w:ascii="Arial" w:hAnsi="Arial" w:cs="Arial"/>
          <w:b/>
          <w:bCs/>
          <w:color w:val="000000"/>
          <w:sz w:val="20"/>
          <w:szCs w:val="20"/>
        </w:rPr>
        <w:t xml:space="preserve">megyei </w:t>
      </w:r>
      <w:proofErr w:type="gramStart"/>
      <w:r w:rsidRPr="00650087">
        <w:rPr>
          <w:rFonts w:ascii="Arial" w:hAnsi="Arial" w:cs="Arial"/>
          <w:b/>
          <w:bCs/>
          <w:color w:val="000000"/>
          <w:sz w:val="20"/>
          <w:szCs w:val="20"/>
        </w:rPr>
        <w:t>kormányhivatalok</w:t>
      </w:r>
      <w:proofErr w:type="gramEnd"/>
      <w:r w:rsidRPr="00650087">
        <w:rPr>
          <w:rFonts w:ascii="Arial" w:hAnsi="Arial" w:cs="Arial"/>
          <w:b/>
          <w:bCs/>
          <w:color w:val="000000"/>
          <w:sz w:val="20"/>
          <w:szCs w:val="20"/>
        </w:rPr>
        <w:t xml:space="preserve"> valamint a</w:t>
      </w:r>
      <w:r w:rsidRPr="00650087">
        <w:rPr>
          <w:rFonts w:ascii="Arial" w:hAnsi="Arial" w:cs="Arial"/>
          <w:b/>
          <w:sz w:val="20"/>
          <w:szCs w:val="20"/>
        </w:rPr>
        <w:t xml:space="preserve"> </w:t>
      </w:r>
      <w:r w:rsidRPr="00650087">
        <w:rPr>
          <w:rFonts w:ascii="Arial" w:hAnsi="Arial" w:cs="Arial"/>
          <w:b/>
          <w:bCs/>
          <w:color w:val="000000"/>
          <w:sz w:val="20"/>
          <w:szCs w:val="20"/>
        </w:rPr>
        <w:t xml:space="preserve">járási (fővárosi kerületi) hivatalok </w:t>
      </w:r>
      <w:r w:rsidRPr="00650087">
        <w:rPr>
          <w:rFonts w:ascii="Arial" w:hAnsi="Arial" w:cs="Arial"/>
          <w:b/>
          <w:sz w:val="20"/>
          <w:szCs w:val="20"/>
        </w:rPr>
        <w:t xml:space="preserve">első és másodfokú </w:t>
      </w:r>
      <w:r>
        <w:rPr>
          <w:rFonts w:ascii="Arial" w:hAnsi="Arial" w:cs="Arial"/>
          <w:b/>
          <w:sz w:val="20"/>
          <w:szCs w:val="20"/>
        </w:rPr>
        <w:t xml:space="preserve">hatósági </w:t>
      </w:r>
      <w:r w:rsidRPr="00650087">
        <w:rPr>
          <w:rFonts w:ascii="Arial" w:hAnsi="Arial" w:cs="Arial"/>
          <w:b/>
          <w:sz w:val="20"/>
          <w:szCs w:val="20"/>
        </w:rPr>
        <w:t>eljárásait összefoglaló adattáblák</w:t>
      </w:r>
      <w:r>
        <w:rPr>
          <w:rFonts w:ascii="Arial" w:hAnsi="Arial" w:cs="Arial"/>
          <w:b/>
          <w:sz w:val="20"/>
          <w:szCs w:val="20"/>
        </w:rPr>
        <w:t xml:space="preserve">ban történt </w:t>
      </w:r>
      <w:r w:rsidRPr="00650087">
        <w:rPr>
          <w:rFonts w:ascii="Arial" w:hAnsi="Arial" w:cs="Arial"/>
          <w:b/>
          <w:sz w:val="20"/>
          <w:szCs w:val="20"/>
        </w:rPr>
        <w:t>változás</w:t>
      </w:r>
      <w:r>
        <w:rPr>
          <w:rFonts w:ascii="Arial" w:hAnsi="Arial" w:cs="Arial"/>
          <w:b/>
          <w:sz w:val="20"/>
          <w:szCs w:val="20"/>
        </w:rPr>
        <w:t>okról</w:t>
      </w:r>
    </w:p>
    <w:p w14:paraId="387BDB8E" w14:textId="77777777" w:rsidR="001B5C38" w:rsidRDefault="001B5C38" w:rsidP="001B5C38">
      <w:pPr>
        <w:spacing w:after="0"/>
        <w:rPr>
          <w:rFonts w:ascii="Arial" w:hAnsi="Arial" w:cs="Arial"/>
          <w:sz w:val="20"/>
          <w:szCs w:val="20"/>
        </w:rPr>
      </w:pPr>
    </w:p>
    <w:p w14:paraId="02A2AA6F" w14:textId="77777777" w:rsidR="001B5C38" w:rsidRDefault="001B5C38" w:rsidP="001B5C38">
      <w:pPr>
        <w:spacing w:after="0"/>
        <w:rPr>
          <w:rFonts w:ascii="Arial" w:hAnsi="Arial" w:cs="Arial"/>
          <w:sz w:val="20"/>
          <w:szCs w:val="20"/>
        </w:rPr>
      </w:pPr>
    </w:p>
    <w:p w14:paraId="3571219E" w14:textId="77777777" w:rsidR="001B5C38" w:rsidRPr="001B5C38" w:rsidRDefault="001B5C38" w:rsidP="001B5C38">
      <w:pPr>
        <w:spacing w:after="0"/>
        <w:rPr>
          <w:rFonts w:ascii="Arial" w:hAnsi="Arial" w:cs="Arial"/>
          <w:sz w:val="20"/>
          <w:szCs w:val="20"/>
        </w:rPr>
      </w:pPr>
    </w:p>
    <w:p w14:paraId="50237434" w14:textId="77777777" w:rsidR="00E66418" w:rsidRDefault="001B5C38" w:rsidP="001B5C38">
      <w:pPr>
        <w:suppressAutoHyphens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650087">
        <w:rPr>
          <w:rFonts w:ascii="Arial" w:hAnsi="Arial" w:cs="Arial"/>
          <w:bCs/>
          <w:color w:val="000000"/>
          <w:sz w:val="20"/>
          <w:szCs w:val="20"/>
        </w:rPr>
        <w:t xml:space="preserve">A </w:t>
      </w:r>
      <w:r w:rsidR="00537065">
        <w:rPr>
          <w:rFonts w:ascii="Arial" w:hAnsi="Arial" w:cs="Arial"/>
          <w:bCs/>
          <w:color w:val="000000"/>
          <w:sz w:val="20"/>
          <w:szCs w:val="20"/>
        </w:rPr>
        <w:t>Közigazgatási és Területfejlesztési Minisztérium</w:t>
      </w:r>
      <w:r w:rsidRPr="00650087">
        <w:rPr>
          <w:rFonts w:ascii="Arial" w:hAnsi="Arial" w:cs="Arial"/>
          <w:bCs/>
          <w:color w:val="000000"/>
          <w:sz w:val="20"/>
          <w:szCs w:val="20"/>
        </w:rPr>
        <w:t xml:space="preserve"> a fővárosi és </w:t>
      </w:r>
      <w:r>
        <w:rPr>
          <w:rFonts w:ascii="Arial" w:hAnsi="Arial" w:cs="Arial"/>
          <w:bCs/>
          <w:color w:val="000000"/>
          <w:sz w:val="20"/>
          <w:szCs w:val="20"/>
        </w:rPr>
        <w:t>vár</w:t>
      </w:r>
      <w:r w:rsidRPr="00650087">
        <w:rPr>
          <w:rFonts w:ascii="Arial" w:hAnsi="Arial" w:cs="Arial"/>
          <w:bCs/>
          <w:color w:val="000000"/>
          <w:sz w:val="20"/>
          <w:szCs w:val="20"/>
        </w:rPr>
        <w:t>megyei kormányhivataloktól beérkezett javaslatok alapján aktualizálta a kormányhivatali és járási hivatali adattáblákat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650087">
        <w:rPr>
          <w:rFonts w:ascii="Arial" w:hAnsi="Arial" w:cs="Arial"/>
          <w:bCs/>
          <w:color w:val="000000"/>
          <w:sz w:val="20"/>
          <w:szCs w:val="20"/>
        </w:rPr>
        <w:t>lehetőséget biztosítva az áthúzódó ügyekben született döntések rögzítésére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is, </w:t>
      </w:r>
      <w:r w:rsidRPr="00B07E2C">
        <w:rPr>
          <w:rFonts w:ascii="Arial" w:hAnsi="Arial" w:cs="Arial"/>
          <w:bCs/>
          <w:color w:val="000000"/>
          <w:sz w:val="20"/>
          <w:szCs w:val="20"/>
        </w:rPr>
        <w:t xml:space="preserve">amennyiben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mégis </w:t>
      </w:r>
      <w:r w:rsidRPr="00B07E2C">
        <w:rPr>
          <w:rFonts w:ascii="Arial" w:hAnsi="Arial" w:cs="Arial"/>
          <w:bCs/>
          <w:color w:val="000000"/>
          <w:sz w:val="20"/>
          <w:szCs w:val="20"/>
        </w:rPr>
        <w:t>valamely törölt hatáskörben született döntést kell rögzíteniük bármely adattáblában, szíveskedjenek az adattáblák utolsó sorában rendelkezésre álló</w:t>
      </w:r>
      <w:r w:rsidRPr="00650087">
        <w:rPr>
          <w:rFonts w:ascii="Arial" w:hAnsi="Arial" w:cs="Arial"/>
          <w:b/>
          <w:bCs/>
          <w:color w:val="000000"/>
          <w:sz w:val="20"/>
          <w:szCs w:val="20"/>
        </w:rPr>
        <w:t xml:space="preserve"> „egyéb igazgatás” </w:t>
      </w:r>
      <w:r w:rsidRPr="00B07E2C">
        <w:rPr>
          <w:rFonts w:ascii="Arial" w:hAnsi="Arial" w:cs="Arial"/>
          <w:bCs/>
          <w:color w:val="000000"/>
          <w:sz w:val="20"/>
          <w:szCs w:val="20"/>
        </w:rPr>
        <w:t>sort használni.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109E1C0" w14:textId="77777777" w:rsidR="005E4B16" w:rsidRDefault="005E4B16" w:rsidP="001B5C38">
      <w:pPr>
        <w:suppressAutoHyphens/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B2DDC82" w14:textId="77777777" w:rsidR="001B5C38" w:rsidRDefault="001B5C38" w:rsidP="001B5C3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66418">
        <w:rPr>
          <w:rFonts w:ascii="Arial" w:hAnsi="Arial" w:cs="Arial"/>
          <w:b/>
          <w:bCs/>
          <w:sz w:val="20"/>
          <w:szCs w:val="20"/>
        </w:rPr>
        <w:t xml:space="preserve">Az adattáblák fejléce a 2024. évre vonatkozó adatszolgáltatás során </w:t>
      </w:r>
      <w:r w:rsidR="00E66418" w:rsidRPr="00E66418">
        <w:rPr>
          <w:rFonts w:ascii="Arial" w:hAnsi="Arial" w:cs="Arial"/>
          <w:b/>
          <w:bCs/>
          <w:sz w:val="20"/>
          <w:szCs w:val="20"/>
        </w:rPr>
        <w:t>a következők szerint változott.</w:t>
      </w:r>
    </w:p>
    <w:p w14:paraId="29715D77" w14:textId="77777777" w:rsidR="00E66418" w:rsidRDefault="00E66418" w:rsidP="001B5C3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D1B69FB" w14:textId="77777777" w:rsidR="00E66418" w:rsidRDefault="00E66418" w:rsidP="001B5C3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FBDB487" w14:textId="77777777" w:rsidR="00E66418" w:rsidRPr="00E66418" w:rsidRDefault="00E66418" w:rsidP="001B5C3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66418">
        <w:rPr>
          <w:rFonts w:ascii="Arial" w:hAnsi="Arial" w:cs="Arial"/>
          <w:b/>
          <w:bCs/>
          <w:sz w:val="20"/>
          <w:szCs w:val="20"/>
          <w:u w:val="single"/>
        </w:rPr>
        <w:t>KH/1. és JH/1. (elsőfokú táblák esetében):</w:t>
      </w:r>
    </w:p>
    <w:p w14:paraId="4BC359B6" w14:textId="77777777" w:rsidR="00E66418" w:rsidRDefault="00E66418" w:rsidP="001B5C38">
      <w:p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20557D93" w14:textId="22E08924" w:rsidR="003922C1" w:rsidRPr="00E66418" w:rsidRDefault="00E66418" w:rsidP="001B5C3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66418">
        <w:rPr>
          <w:rFonts w:ascii="Arial" w:hAnsi="Arial" w:cs="Arial"/>
          <w:b/>
          <w:bCs/>
          <w:sz w:val="20"/>
          <w:szCs w:val="20"/>
        </w:rPr>
        <w:t xml:space="preserve">Új oszlop beszúrása: </w:t>
      </w:r>
    </w:p>
    <w:p w14:paraId="0ABF3DCF" w14:textId="038C4A86" w:rsidR="00E66418" w:rsidRDefault="005E4B16" w:rsidP="00E66418">
      <w:pPr>
        <w:pStyle w:val="Listaszerbekezds"/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Az </w:t>
      </w:r>
      <w:r w:rsidR="00E66418">
        <w:rPr>
          <w:rFonts w:ascii="Arial" w:hAnsi="Arial" w:cs="Arial"/>
          <w:bCs/>
          <w:sz w:val="20"/>
          <w:szCs w:val="20"/>
        </w:rPr>
        <w:t>„</w:t>
      </w:r>
      <w:r>
        <w:rPr>
          <w:rFonts w:ascii="Arial" w:hAnsi="Arial" w:cs="Arial"/>
          <w:bCs/>
          <w:sz w:val="20"/>
          <w:szCs w:val="20"/>
        </w:rPr>
        <w:t xml:space="preserve">elsőfokú döntések, </w:t>
      </w:r>
      <w:r w:rsidR="00E66418">
        <w:rPr>
          <w:rFonts w:ascii="Arial" w:hAnsi="Arial" w:cs="Arial"/>
          <w:bCs/>
          <w:sz w:val="20"/>
          <w:szCs w:val="20"/>
        </w:rPr>
        <w:t xml:space="preserve">végzések” </w:t>
      </w:r>
      <w:r>
        <w:rPr>
          <w:rFonts w:ascii="Arial" w:hAnsi="Arial" w:cs="Arial"/>
          <w:bCs/>
          <w:sz w:val="20"/>
          <w:szCs w:val="20"/>
        </w:rPr>
        <w:t xml:space="preserve">oszlop </w:t>
      </w:r>
      <w:r w:rsidR="00E66418">
        <w:rPr>
          <w:rFonts w:ascii="Arial" w:hAnsi="Arial" w:cs="Arial"/>
          <w:bCs/>
          <w:sz w:val="20"/>
          <w:szCs w:val="20"/>
        </w:rPr>
        <w:t>kiegészítés</w:t>
      </w:r>
      <w:r>
        <w:rPr>
          <w:rFonts w:ascii="Arial" w:hAnsi="Arial" w:cs="Arial"/>
          <w:bCs/>
          <w:sz w:val="20"/>
          <w:szCs w:val="20"/>
        </w:rPr>
        <w:t>r</w:t>
      </w:r>
      <w:r w:rsidR="00E66418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 xml:space="preserve"> került a</w:t>
      </w:r>
      <w:r w:rsidR="00E66418" w:rsidRPr="00E66418">
        <w:rPr>
          <w:rFonts w:ascii="Arial" w:hAnsi="Arial" w:cs="Arial"/>
          <w:bCs/>
          <w:sz w:val="20"/>
          <w:szCs w:val="20"/>
        </w:rPr>
        <w:t xml:space="preserve"> </w:t>
      </w:r>
      <w:r w:rsidRPr="00EF1A40">
        <w:rPr>
          <w:rFonts w:ascii="Arial" w:hAnsi="Arial" w:cs="Arial"/>
          <w:b/>
          <w:i/>
          <w:iCs/>
          <w:sz w:val="20"/>
          <w:szCs w:val="20"/>
        </w:rPr>
        <w:t>14.</w:t>
      </w:r>
      <w:r w:rsidRPr="00EF1A40">
        <w:rPr>
          <w:rFonts w:ascii="Arial" w:hAnsi="Arial" w:cs="Arial"/>
          <w:b/>
          <w:sz w:val="20"/>
          <w:szCs w:val="20"/>
        </w:rPr>
        <w:t xml:space="preserve"> </w:t>
      </w:r>
      <w:r w:rsidR="00E66418" w:rsidRPr="00EF1A40">
        <w:rPr>
          <w:rFonts w:ascii="Arial" w:hAnsi="Arial" w:cs="Arial"/>
          <w:b/>
          <w:i/>
          <w:sz w:val="20"/>
          <w:szCs w:val="20"/>
        </w:rPr>
        <w:t>"ellenőrzést/eljárást megindító végzések"</w:t>
      </w:r>
      <w:r w:rsidR="00E66418" w:rsidRPr="00E66418">
        <w:rPr>
          <w:rFonts w:ascii="Arial" w:hAnsi="Arial" w:cs="Arial"/>
          <w:bCs/>
          <w:sz w:val="20"/>
          <w:szCs w:val="20"/>
        </w:rPr>
        <w:t xml:space="preserve"> oszlop</w:t>
      </w:r>
      <w:r>
        <w:rPr>
          <w:rFonts w:ascii="Arial" w:hAnsi="Arial" w:cs="Arial"/>
          <w:bCs/>
          <w:sz w:val="20"/>
          <w:szCs w:val="20"/>
        </w:rPr>
        <w:t>pal.</w:t>
      </w:r>
    </w:p>
    <w:p w14:paraId="65B2D3A9" w14:textId="77777777" w:rsidR="00E66418" w:rsidRDefault="00E66418" w:rsidP="00E66418">
      <w:p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186EF3B5" w14:textId="77777777" w:rsidR="00E66418" w:rsidRDefault="00E66418" w:rsidP="00E6641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3881D26" w14:textId="77777777" w:rsidR="00E66418" w:rsidRPr="00E66418" w:rsidRDefault="00E66418" w:rsidP="00E6641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66418">
        <w:rPr>
          <w:rFonts w:ascii="Arial" w:hAnsi="Arial" w:cs="Arial"/>
          <w:b/>
          <w:bCs/>
          <w:sz w:val="20"/>
          <w:szCs w:val="20"/>
          <w:u w:val="single"/>
        </w:rPr>
        <w:t>KH/2. (másodfokú tábla esetében):</w:t>
      </w:r>
    </w:p>
    <w:p w14:paraId="47D33610" w14:textId="77777777" w:rsidR="00E66418" w:rsidRDefault="00E66418" w:rsidP="00E66418">
      <w:p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</w:p>
    <w:p w14:paraId="0CCDD603" w14:textId="77777777" w:rsidR="003922C1" w:rsidRPr="00E66418" w:rsidRDefault="00E66418" w:rsidP="00E66418">
      <w:p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E66418">
        <w:rPr>
          <w:rFonts w:ascii="Arial" w:hAnsi="Arial" w:cs="Arial"/>
          <w:b/>
          <w:bCs/>
          <w:sz w:val="20"/>
          <w:szCs w:val="20"/>
        </w:rPr>
        <w:t>Új oszlopok beszúrása:</w:t>
      </w:r>
    </w:p>
    <w:p w14:paraId="4F97EE88" w14:textId="6CACAF68" w:rsidR="00E66418" w:rsidRDefault="005E4B16" w:rsidP="00E66418">
      <w:pPr>
        <w:pStyle w:val="Listaszerbekezds"/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Az </w:t>
      </w:r>
      <w:r w:rsidR="00E66418" w:rsidRPr="00E66418">
        <w:rPr>
          <w:rFonts w:ascii="Arial" w:hAnsi="Arial" w:cs="Arial"/>
          <w:bCs/>
          <w:sz w:val="20"/>
          <w:szCs w:val="20"/>
        </w:rPr>
        <w:t xml:space="preserve">„elsőfokú döntésekkel szembeni jogorvoslatok, </w:t>
      </w:r>
      <w:proofErr w:type="spellStart"/>
      <w:r w:rsidR="00E66418" w:rsidRPr="00E66418">
        <w:rPr>
          <w:rFonts w:ascii="Arial" w:hAnsi="Arial" w:cs="Arial"/>
          <w:bCs/>
          <w:sz w:val="20"/>
          <w:szCs w:val="20"/>
        </w:rPr>
        <w:t>hivatalbóli</w:t>
      </w:r>
      <w:proofErr w:type="spellEnd"/>
      <w:r w:rsidR="00E66418" w:rsidRPr="00E66418">
        <w:rPr>
          <w:rFonts w:ascii="Arial" w:hAnsi="Arial" w:cs="Arial"/>
          <w:bCs/>
          <w:sz w:val="20"/>
          <w:szCs w:val="20"/>
        </w:rPr>
        <w:t xml:space="preserve"> jogo</w:t>
      </w:r>
      <w:r w:rsidR="00E66418">
        <w:rPr>
          <w:rFonts w:ascii="Arial" w:hAnsi="Arial" w:cs="Arial"/>
          <w:bCs/>
          <w:sz w:val="20"/>
          <w:szCs w:val="20"/>
        </w:rPr>
        <w:t>rvoslatok”</w:t>
      </w:r>
      <w:r w:rsidR="00EF1A4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oszlop</w:t>
      </w:r>
      <w:r w:rsidR="00E66418">
        <w:rPr>
          <w:rFonts w:ascii="Arial" w:hAnsi="Arial" w:cs="Arial"/>
          <w:bCs/>
          <w:sz w:val="20"/>
          <w:szCs w:val="20"/>
        </w:rPr>
        <w:t xml:space="preserve"> kiegészítés</w:t>
      </w:r>
      <w:r>
        <w:rPr>
          <w:rFonts w:ascii="Arial" w:hAnsi="Arial" w:cs="Arial"/>
          <w:bCs/>
          <w:sz w:val="20"/>
          <w:szCs w:val="20"/>
        </w:rPr>
        <w:t>r</w:t>
      </w:r>
      <w:r w:rsidR="00E66418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 xml:space="preserve"> került a </w:t>
      </w:r>
      <w:r w:rsidRPr="00EF1A40">
        <w:rPr>
          <w:rFonts w:ascii="Arial" w:hAnsi="Arial" w:cs="Arial"/>
          <w:b/>
          <w:i/>
          <w:iCs/>
          <w:sz w:val="20"/>
          <w:szCs w:val="20"/>
        </w:rPr>
        <w:t>11.</w:t>
      </w:r>
      <w:r w:rsidRPr="00EF1A40">
        <w:rPr>
          <w:rFonts w:ascii="Arial" w:hAnsi="Arial" w:cs="Arial"/>
          <w:bCs/>
          <w:i/>
          <w:iCs/>
          <w:sz w:val="20"/>
          <w:szCs w:val="20"/>
        </w:rPr>
        <w:t xml:space="preserve"> (a másodfokon vagy felügyeleti jogkörben eljáró hatóság)</w:t>
      </w:r>
      <w:r w:rsidR="00E66418" w:rsidRPr="00E66418">
        <w:rPr>
          <w:rFonts w:ascii="Arial" w:hAnsi="Arial" w:cs="Arial"/>
          <w:bCs/>
          <w:sz w:val="20"/>
          <w:szCs w:val="20"/>
        </w:rPr>
        <w:t xml:space="preserve"> </w:t>
      </w:r>
      <w:r w:rsidR="00E66418" w:rsidRPr="00EF1A40">
        <w:rPr>
          <w:rFonts w:ascii="Arial" w:hAnsi="Arial" w:cs="Arial"/>
          <w:b/>
          <w:i/>
          <w:sz w:val="20"/>
          <w:szCs w:val="20"/>
        </w:rPr>
        <w:t>"megsemmisítette és új eljárásra utasította"</w:t>
      </w:r>
      <w:r w:rsidR="00E66418" w:rsidRPr="00E66418">
        <w:rPr>
          <w:rFonts w:ascii="Arial" w:hAnsi="Arial" w:cs="Arial"/>
          <w:bCs/>
          <w:sz w:val="20"/>
          <w:szCs w:val="20"/>
        </w:rPr>
        <w:t xml:space="preserve"> oszlop</w:t>
      </w:r>
      <w:r>
        <w:rPr>
          <w:rFonts w:ascii="Arial" w:hAnsi="Arial" w:cs="Arial"/>
          <w:bCs/>
          <w:sz w:val="20"/>
          <w:szCs w:val="20"/>
        </w:rPr>
        <w:t>pal.</w:t>
      </w:r>
    </w:p>
    <w:p w14:paraId="77BB6F60" w14:textId="77777777" w:rsidR="00EF1A40" w:rsidRDefault="00EF1A40" w:rsidP="00EF1A40">
      <w:pPr>
        <w:pStyle w:val="Listaszerbekezds"/>
        <w:suppressAutoHyphens/>
        <w:spacing w:after="0"/>
        <w:ind w:left="1068"/>
        <w:jc w:val="both"/>
        <w:rPr>
          <w:rFonts w:ascii="Arial" w:hAnsi="Arial" w:cs="Arial"/>
          <w:bCs/>
          <w:sz w:val="20"/>
          <w:szCs w:val="20"/>
        </w:rPr>
      </w:pPr>
    </w:p>
    <w:p w14:paraId="093E4794" w14:textId="2000E9AB" w:rsidR="00092B02" w:rsidRPr="00EF1A40" w:rsidRDefault="005E4B16" w:rsidP="00092B02">
      <w:pPr>
        <w:pStyle w:val="Listaszerbekezds"/>
        <w:numPr>
          <w:ilvl w:val="0"/>
          <w:numId w:val="3"/>
        </w:num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Az adattábla kiegészítésre került a </w:t>
      </w:r>
      <w:r w:rsidR="00E66418" w:rsidRPr="00E66418">
        <w:rPr>
          <w:rFonts w:ascii="Arial" w:hAnsi="Arial" w:cs="Arial"/>
          <w:bCs/>
          <w:i/>
          <w:sz w:val="20"/>
          <w:szCs w:val="20"/>
        </w:rPr>
        <w:t>felülvizsgálati eljárás</w:t>
      </w:r>
      <w:r>
        <w:rPr>
          <w:rFonts w:ascii="Arial" w:hAnsi="Arial" w:cs="Arial"/>
          <w:bCs/>
          <w:i/>
          <w:sz w:val="20"/>
          <w:szCs w:val="20"/>
        </w:rPr>
        <w:t>ra vonatkozó új oszlopokkal</w:t>
      </w:r>
      <w:r w:rsidR="00E66418" w:rsidRPr="00E66418">
        <w:rPr>
          <w:rFonts w:ascii="Arial" w:hAnsi="Arial" w:cs="Arial"/>
          <w:bCs/>
          <w:sz w:val="20"/>
          <w:szCs w:val="20"/>
        </w:rPr>
        <w:t>:</w:t>
      </w:r>
    </w:p>
    <w:p w14:paraId="52E0B7C6" w14:textId="73565EF8" w:rsidR="00092B02" w:rsidRDefault="00092B02" w:rsidP="00E66418">
      <w:pPr>
        <w:pStyle w:val="Listaszerbekezds"/>
        <w:suppressAutoHyphens/>
        <w:spacing w:after="0"/>
        <w:ind w:left="1068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(a Kúria)</w:t>
      </w:r>
    </w:p>
    <w:p w14:paraId="1F9A132F" w14:textId="5E10FE24" w:rsidR="00E66418" w:rsidRPr="00EF1A40" w:rsidRDefault="00E66418" w:rsidP="00E66418">
      <w:pPr>
        <w:pStyle w:val="Listaszerbekezds"/>
        <w:suppressAutoHyphens/>
        <w:spacing w:after="0"/>
        <w:ind w:left="1068"/>
        <w:jc w:val="both"/>
        <w:rPr>
          <w:rFonts w:ascii="Arial" w:hAnsi="Arial" w:cs="Arial"/>
          <w:b/>
          <w:i/>
          <w:sz w:val="20"/>
          <w:szCs w:val="20"/>
        </w:rPr>
      </w:pPr>
      <w:r w:rsidRPr="00EF1A40">
        <w:rPr>
          <w:rFonts w:ascii="Arial" w:hAnsi="Arial" w:cs="Arial"/>
          <w:b/>
          <w:i/>
          <w:sz w:val="20"/>
          <w:szCs w:val="20"/>
        </w:rPr>
        <w:t>-</w:t>
      </w:r>
      <w:r w:rsidR="00713527">
        <w:rPr>
          <w:rFonts w:ascii="Arial" w:hAnsi="Arial" w:cs="Arial"/>
          <w:b/>
          <w:i/>
          <w:sz w:val="20"/>
          <w:szCs w:val="20"/>
        </w:rPr>
        <w:tab/>
      </w:r>
      <w:r w:rsidR="00092B02" w:rsidRPr="00EF1A40">
        <w:rPr>
          <w:rFonts w:ascii="Arial" w:hAnsi="Arial" w:cs="Arial"/>
          <w:b/>
          <w:i/>
          <w:sz w:val="20"/>
          <w:szCs w:val="20"/>
        </w:rPr>
        <w:t>32. „</w:t>
      </w:r>
      <w:r w:rsidRPr="00EF1A40">
        <w:rPr>
          <w:rFonts w:ascii="Arial" w:hAnsi="Arial" w:cs="Arial"/>
          <w:b/>
          <w:i/>
          <w:sz w:val="20"/>
          <w:szCs w:val="20"/>
        </w:rPr>
        <w:t>a felülvizsgálati kérelmet visszautasította</w:t>
      </w:r>
      <w:r w:rsidR="00092B02" w:rsidRPr="00EF1A40">
        <w:rPr>
          <w:rFonts w:ascii="Arial" w:hAnsi="Arial" w:cs="Arial"/>
          <w:b/>
          <w:i/>
          <w:sz w:val="20"/>
          <w:szCs w:val="20"/>
        </w:rPr>
        <w:t>”</w:t>
      </w:r>
    </w:p>
    <w:p w14:paraId="74DEA566" w14:textId="4CF28DAF" w:rsidR="00E66418" w:rsidRPr="00EF1A40" w:rsidRDefault="00E66418" w:rsidP="00E66418">
      <w:pPr>
        <w:pStyle w:val="Listaszerbekezds"/>
        <w:suppressAutoHyphens/>
        <w:spacing w:after="0"/>
        <w:ind w:left="1068"/>
        <w:jc w:val="both"/>
        <w:rPr>
          <w:rFonts w:ascii="Arial" w:hAnsi="Arial" w:cs="Arial"/>
          <w:b/>
          <w:i/>
          <w:sz w:val="20"/>
          <w:szCs w:val="20"/>
        </w:rPr>
      </w:pPr>
      <w:r w:rsidRPr="00EF1A40">
        <w:rPr>
          <w:rFonts w:ascii="Arial" w:hAnsi="Arial" w:cs="Arial"/>
          <w:b/>
          <w:i/>
          <w:sz w:val="20"/>
          <w:szCs w:val="20"/>
        </w:rPr>
        <w:t>-</w:t>
      </w:r>
      <w:r w:rsidR="00713527">
        <w:rPr>
          <w:rFonts w:ascii="Arial" w:hAnsi="Arial" w:cs="Arial"/>
          <w:b/>
          <w:i/>
          <w:sz w:val="20"/>
          <w:szCs w:val="20"/>
        </w:rPr>
        <w:tab/>
      </w:r>
      <w:r w:rsidR="00092B02" w:rsidRPr="00EF1A40">
        <w:rPr>
          <w:rFonts w:ascii="Arial" w:hAnsi="Arial" w:cs="Arial"/>
          <w:b/>
          <w:i/>
          <w:sz w:val="20"/>
          <w:szCs w:val="20"/>
        </w:rPr>
        <w:t>33. „</w:t>
      </w:r>
      <w:r w:rsidRPr="00EF1A40">
        <w:rPr>
          <w:rFonts w:ascii="Arial" w:hAnsi="Arial" w:cs="Arial"/>
          <w:b/>
          <w:i/>
          <w:sz w:val="20"/>
          <w:szCs w:val="20"/>
        </w:rPr>
        <w:t>a felülvizsgálati kérelem befogadását megtagadta</w:t>
      </w:r>
      <w:r w:rsidR="00092B02" w:rsidRPr="00EF1A40">
        <w:rPr>
          <w:rFonts w:ascii="Arial" w:hAnsi="Arial" w:cs="Arial"/>
          <w:b/>
          <w:i/>
          <w:sz w:val="20"/>
          <w:szCs w:val="20"/>
        </w:rPr>
        <w:t>”</w:t>
      </w:r>
    </w:p>
    <w:p w14:paraId="1C7C2428" w14:textId="10324DEA" w:rsidR="00E66418" w:rsidRPr="00EF1A40" w:rsidRDefault="00E66418" w:rsidP="00E66418">
      <w:pPr>
        <w:pStyle w:val="Listaszerbekezds"/>
        <w:suppressAutoHyphens/>
        <w:spacing w:after="0"/>
        <w:ind w:left="1068"/>
        <w:jc w:val="both"/>
        <w:rPr>
          <w:rFonts w:ascii="Arial" w:hAnsi="Arial" w:cs="Arial"/>
          <w:b/>
          <w:i/>
          <w:sz w:val="20"/>
          <w:szCs w:val="20"/>
        </w:rPr>
      </w:pPr>
      <w:r w:rsidRPr="00EF1A40">
        <w:rPr>
          <w:rFonts w:ascii="Arial" w:hAnsi="Arial" w:cs="Arial"/>
          <w:b/>
          <w:i/>
          <w:sz w:val="20"/>
          <w:szCs w:val="20"/>
        </w:rPr>
        <w:t>-</w:t>
      </w:r>
      <w:r w:rsidR="00713527">
        <w:rPr>
          <w:rFonts w:ascii="Arial" w:hAnsi="Arial" w:cs="Arial"/>
          <w:b/>
          <w:i/>
          <w:sz w:val="20"/>
          <w:szCs w:val="20"/>
        </w:rPr>
        <w:tab/>
      </w:r>
      <w:r w:rsidR="00092B02" w:rsidRPr="00EF1A40">
        <w:rPr>
          <w:rFonts w:ascii="Arial" w:hAnsi="Arial" w:cs="Arial"/>
          <w:b/>
          <w:i/>
          <w:sz w:val="20"/>
          <w:szCs w:val="20"/>
        </w:rPr>
        <w:t>34. „</w:t>
      </w:r>
      <w:r w:rsidRPr="00EF1A40">
        <w:rPr>
          <w:rFonts w:ascii="Arial" w:hAnsi="Arial" w:cs="Arial"/>
          <w:b/>
          <w:i/>
          <w:sz w:val="20"/>
          <w:szCs w:val="20"/>
        </w:rPr>
        <w:t>a megtámadott bírósági határozatot hatályában fenntartotta</w:t>
      </w:r>
      <w:r w:rsidR="00092B02" w:rsidRPr="00EF1A40">
        <w:rPr>
          <w:rFonts w:ascii="Arial" w:hAnsi="Arial" w:cs="Arial"/>
          <w:b/>
          <w:i/>
          <w:sz w:val="20"/>
          <w:szCs w:val="20"/>
        </w:rPr>
        <w:t>”</w:t>
      </w:r>
    </w:p>
    <w:p w14:paraId="6183CDCC" w14:textId="74E3CD97" w:rsidR="00E66418" w:rsidRPr="00EF1A40" w:rsidRDefault="00E66418" w:rsidP="00EF1A40">
      <w:pPr>
        <w:pStyle w:val="Listaszerbekezds"/>
        <w:suppressAutoHyphens/>
        <w:spacing w:after="0"/>
        <w:ind w:left="1418" w:hanging="350"/>
        <w:jc w:val="both"/>
        <w:rPr>
          <w:rFonts w:ascii="Arial" w:hAnsi="Arial" w:cs="Arial"/>
          <w:b/>
          <w:i/>
          <w:sz w:val="20"/>
          <w:szCs w:val="20"/>
        </w:rPr>
      </w:pPr>
      <w:r w:rsidRPr="00EF1A40">
        <w:rPr>
          <w:rFonts w:ascii="Arial" w:hAnsi="Arial" w:cs="Arial"/>
          <w:b/>
          <w:i/>
          <w:sz w:val="20"/>
          <w:szCs w:val="20"/>
        </w:rPr>
        <w:t>-</w:t>
      </w:r>
      <w:r w:rsidR="00713527">
        <w:rPr>
          <w:rFonts w:ascii="Arial" w:hAnsi="Arial" w:cs="Arial"/>
          <w:b/>
          <w:i/>
          <w:sz w:val="20"/>
          <w:szCs w:val="20"/>
        </w:rPr>
        <w:tab/>
      </w:r>
      <w:r w:rsidR="00092B02" w:rsidRPr="00EF1A40">
        <w:rPr>
          <w:rFonts w:ascii="Arial" w:hAnsi="Arial" w:cs="Arial"/>
          <w:b/>
          <w:i/>
          <w:sz w:val="20"/>
          <w:szCs w:val="20"/>
        </w:rPr>
        <w:t>35.</w:t>
      </w:r>
      <w:r w:rsidR="00713527">
        <w:rPr>
          <w:rFonts w:ascii="Arial" w:hAnsi="Arial" w:cs="Arial"/>
          <w:b/>
          <w:i/>
          <w:sz w:val="20"/>
          <w:szCs w:val="20"/>
        </w:rPr>
        <w:t xml:space="preserve"> </w:t>
      </w:r>
      <w:r w:rsidR="00092B02" w:rsidRPr="00EF1A40">
        <w:rPr>
          <w:rFonts w:ascii="Arial" w:hAnsi="Arial" w:cs="Arial"/>
          <w:b/>
          <w:i/>
          <w:sz w:val="20"/>
          <w:szCs w:val="20"/>
        </w:rPr>
        <w:t>„</w:t>
      </w:r>
      <w:r w:rsidRPr="00EF1A40">
        <w:rPr>
          <w:rFonts w:ascii="Arial" w:hAnsi="Arial" w:cs="Arial"/>
          <w:b/>
          <w:i/>
          <w:sz w:val="20"/>
          <w:szCs w:val="20"/>
        </w:rPr>
        <w:t>a jogerős bírósági határozatot úgy változtatta meg, hogy a megtámadott közigazgatási cselekményt megsemmisítette, és a közigazgatási szervet új eljárás lefolytatására kötelezte</w:t>
      </w:r>
      <w:r w:rsidR="00092B02" w:rsidRPr="00EF1A40">
        <w:rPr>
          <w:rFonts w:ascii="Arial" w:hAnsi="Arial" w:cs="Arial"/>
          <w:b/>
          <w:i/>
          <w:sz w:val="20"/>
          <w:szCs w:val="20"/>
        </w:rPr>
        <w:t>”</w:t>
      </w:r>
    </w:p>
    <w:p w14:paraId="187AFEF4" w14:textId="77777777" w:rsidR="001B5C38" w:rsidRDefault="001B5C38" w:rsidP="001B5C38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1938313" w14:textId="77777777" w:rsidR="00E66418" w:rsidRPr="006F7541" w:rsidRDefault="00E66418" w:rsidP="001B5C38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3183EBA" w14:textId="77777777" w:rsidR="001B5C38" w:rsidRDefault="001B5C38" w:rsidP="001B5C3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42B42B4" w14:textId="77777777" w:rsidR="001B5C38" w:rsidRPr="00E66418" w:rsidRDefault="001B5C38" w:rsidP="001B5C3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66418">
        <w:rPr>
          <w:rFonts w:ascii="Arial" w:hAnsi="Arial" w:cs="Arial"/>
          <w:b/>
          <w:sz w:val="20"/>
          <w:szCs w:val="20"/>
          <w:u w:val="single"/>
        </w:rPr>
        <w:t xml:space="preserve">Kormányhivatali </w:t>
      </w:r>
      <w:r w:rsidR="00E66418">
        <w:rPr>
          <w:rFonts w:ascii="Arial" w:hAnsi="Arial" w:cs="Arial"/>
          <w:b/>
          <w:sz w:val="20"/>
          <w:szCs w:val="20"/>
          <w:u w:val="single"/>
        </w:rPr>
        <w:t xml:space="preserve">hatósági </w:t>
      </w:r>
      <w:r w:rsidRPr="00E66418">
        <w:rPr>
          <w:rFonts w:ascii="Arial" w:hAnsi="Arial" w:cs="Arial"/>
          <w:b/>
          <w:sz w:val="20"/>
          <w:szCs w:val="20"/>
          <w:u w:val="single"/>
        </w:rPr>
        <w:t>hatáskörök</w:t>
      </w:r>
    </w:p>
    <w:p w14:paraId="6AAAEB20" w14:textId="77777777" w:rsidR="001B5C38" w:rsidRPr="006F7541" w:rsidRDefault="001B5C38" w:rsidP="001B5C38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A0B0E81" w14:textId="77777777" w:rsidR="00D539CA" w:rsidRDefault="00B53518" w:rsidP="00B53518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122382">
        <w:rPr>
          <w:rFonts w:ascii="Arial" w:hAnsi="Arial" w:cs="Arial"/>
          <w:b/>
          <w:sz w:val="20"/>
          <w:szCs w:val="20"/>
          <w:u w:val="single"/>
        </w:rPr>
        <w:t xml:space="preserve">KH/1. </w:t>
      </w:r>
      <w:r w:rsidRPr="00122382">
        <w:rPr>
          <w:b/>
          <w:u w:val="single"/>
        </w:rPr>
        <w:t>tábla</w:t>
      </w:r>
    </w:p>
    <w:p w14:paraId="55384992" w14:textId="77777777" w:rsidR="00537065" w:rsidRDefault="00537065" w:rsidP="00537065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</w:p>
    <w:p w14:paraId="6B6B56A7" w14:textId="77777777" w:rsidR="00B53518" w:rsidRPr="00537065" w:rsidRDefault="00537065" w:rsidP="00537065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537065">
        <w:rPr>
          <w:rFonts w:ascii="Arial" w:hAnsi="Arial" w:cs="Arial"/>
          <w:b/>
          <w:sz w:val="20"/>
          <w:szCs w:val="20"/>
        </w:rPr>
        <w:t>Új hatásköri sorok</w:t>
      </w:r>
      <w:r w:rsidR="00B53518" w:rsidRPr="00537065">
        <w:rPr>
          <w:rFonts w:ascii="Arial" w:hAnsi="Arial" w:cs="Arial"/>
          <w:b/>
          <w:sz w:val="20"/>
          <w:szCs w:val="20"/>
        </w:rPr>
        <w:t xml:space="preserve"> (emiatt változik a számozás is)</w:t>
      </w:r>
    </w:p>
    <w:p w14:paraId="0FE84519" w14:textId="77777777" w:rsidR="00537065" w:rsidRPr="00B53518" w:rsidRDefault="00537065" w:rsidP="00537065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5CAF9072" w14:textId="6B894D6A" w:rsidR="00B53518" w:rsidRPr="00537065" w:rsidRDefault="00B53518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i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22. Fogyatékossági támogatás</w:t>
      </w:r>
      <w:r w:rsidR="00537065">
        <w:rPr>
          <w:rFonts w:ascii="Arial" w:hAnsi="Arial" w:cs="Arial"/>
          <w:i/>
          <w:sz w:val="20"/>
          <w:szCs w:val="20"/>
        </w:rPr>
        <w:t>:</w:t>
      </w:r>
      <w:r w:rsidR="00537065" w:rsidRPr="00537065">
        <w:rPr>
          <w:rFonts w:ascii="Arial" w:hAnsi="Arial" w:cs="Arial"/>
          <w:sz w:val="20"/>
          <w:szCs w:val="20"/>
        </w:rPr>
        <w:t xml:space="preserve"> A kormányhivatal a fogyatékossági támogatás</w:t>
      </w:r>
      <w:r w:rsidR="00092B02">
        <w:rPr>
          <w:rFonts w:ascii="Arial" w:hAnsi="Arial" w:cs="Arial"/>
          <w:sz w:val="20"/>
          <w:szCs w:val="20"/>
        </w:rPr>
        <w:t>i</w:t>
      </w:r>
      <w:r w:rsidR="00537065" w:rsidRPr="00537065">
        <w:rPr>
          <w:rFonts w:ascii="Arial" w:hAnsi="Arial" w:cs="Arial"/>
          <w:sz w:val="20"/>
          <w:szCs w:val="20"/>
        </w:rPr>
        <w:t xml:space="preserve"> ügyekben a fogyatékos személyek jogairól és esélyegyenlőségük biztosításáról szóló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 xml:space="preserve">1998. évi XXVI. törvény, továbbá a súlyos fogyatékosság minősítésének és felülvizsgálatának, valamint a fogyatékossági támogatás folyósításának szabályairól szóló </w:t>
      </w:r>
      <w:r w:rsidR="00502A0A">
        <w:rPr>
          <w:rFonts w:ascii="Arial" w:hAnsi="Arial" w:cs="Arial"/>
          <w:sz w:val="20"/>
          <w:szCs w:val="20"/>
        </w:rPr>
        <w:br/>
      </w:r>
      <w:r w:rsidR="00502A0A">
        <w:rPr>
          <w:rFonts w:ascii="Arial" w:hAnsi="Arial" w:cs="Arial"/>
          <w:sz w:val="20"/>
          <w:szCs w:val="20"/>
        </w:rPr>
        <w:lastRenderedPageBreak/>
        <w:t xml:space="preserve">141/2000. </w:t>
      </w:r>
      <w:r w:rsidR="00537065" w:rsidRPr="00537065">
        <w:rPr>
          <w:rFonts w:ascii="Arial" w:hAnsi="Arial" w:cs="Arial"/>
          <w:sz w:val="20"/>
          <w:szCs w:val="20"/>
        </w:rPr>
        <w:t>(VIII. 9.) Korm. rendeletben foglaltak szerint jár el. Ezen ellátás nem tartozik a táblázat 12. sorában szereplő családtámogatási ellátások körébe.</w:t>
      </w:r>
    </w:p>
    <w:p w14:paraId="56454060" w14:textId="07A61E4D" w:rsidR="00B53518" w:rsidRPr="00B53518" w:rsidRDefault="00B53518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32. Iparbiztonság</w:t>
      </w:r>
      <w:r w:rsidR="00537065" w:rsidRPr="00537065">
        <w:rPr>
          <w:rFonts w:ascii="Arial" w:hAnsi="Arial" w:cs="Arial"/>
          <w:i/>
          <w:sz w:val="20"/>
          <w:szCs w:val="20"/>
        </w:rPr>
        <w:t>:</w:t>
      </w:r>
      <w:r w:rsidR="00537065">
        <w:rPr>
          <w:rFonts w:ascii="Arial" w:hAnsi="Arial" w:cs="Arial"/>
          <w:sz w:val="20"/>
          <w:szCs w:val="20"/>
        </w:rPr>
        <w:t xml:space="preserve"> </w:t>
      </w:r>
      <w:r w:rsidR="00537065" w:rsidRPr="00537065">
        <w:rPr>
          <w:rFonts w:ascii="Arial" w:hAnsi="Arial" w:cs="Arial"/>
          <w:sz w:val="20"/>
          <w:szCs w:val="20"/>
        </w:rPr>
        <w:t xml:space="preserve">Az állam működését érintő egyes törvények módosításáról szóló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 xml:space="preserve">2024. évi XXIX. törvényben és az egyes hatósági hatáskörök változásáról szóló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 xml:space="preserve">257/2024. (VIII. 29.) Korm. rendeletben foglaltak alapján 2024. október 1-jétől a </w:t>
      </w:r>
      <w:r w:rsidR="00092B02">
        <w:rPr>
          <w:rFonts w:ascii="Arial" w:hAnsi="Arial" w:cs="Arial"/>
          <w:sz w:val="20"/>
          <w:szCs w:val="20"/>
        </w:rPr>
        <w:t>fővárosi és v</w:t>
      </w:r>
      <w:r w:rsidR="00537065" w:rsidRPr="00537065">
        <w:rPr>
          <w:rFonts w:ascii="Arial" w:hAnsi="Arial" w:cs="Arial"/>
          <w:sz w:val="20"/>
          <w:szCs w:val="20"/>
        </w:rPr>
        <w:t xml:space="preserve">ármegyei </w:t>
      </w:r>
      <w:r w:rsidR="00092B02">
        <w:rPr>
          <w:rFonts w:ascii="Arial" w:hAnsi="Arial" w:cs="Arial"/>
          <w:sz w:val="20"/>
          <w:szCs w:val="20"/>
        </w:rPr>
        <w:t>k</w:t>
      </w:r>
      <w:r w:rsidR="00537065" w:rsidRPr="00537065">
        <w:rPr>
          <w:rFonts w:ascii="Arial" w:hAnsi="Arial" w:cs="Arial"/>
          <w:sz w:val="20"/>
          <w:szCs w:val="20"/>
        </w:rPr>
        <w:t>ormányhivatalok látják el a</w:t>
      </w:r>
      <w:r w:rsidR="00713527">
        <w:rPr>
          <w:rFonts w:ascii="Arial" w:hAnsi="Arial" w:cs="Arial"/>
          <w:sz w:val="20"/>
          <w:szCs w:val="20"/>
        </w:rPr>
        <w:t>z</w:t>
      </w:r>
      <w:r w:rsidR="00537065" w:rsidRPr="00537065">
        <w:rPr>
          <w:rFonts w:ascii="Arial" w:hAnsi="Arial" w:cs="Arial"/>
          <w:sz w:val="20"/>
          <w:szCs w:val="20"/>
        </w:rPr>
        <w:t xml:space="preserve"> iparbiztonsági hatósági hatáskört.</w:t>
      </w:r>
    </w:p>
    <w:p w14:paraId="39C39059" w14:textId="10A93E8B" w:rsidR="00B53518" w:rsidRPr="00B53518" w:rsidRDefault="00B53518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48. Nagycsaládosokat megillető földgáz árkedvezménnyel kapcsolatos feladatok</w:t>
      </w:r>
      <w:r w:rsidR="00537065" w:rsidRPr="00537065">
        <w:rPr>
          <w:rFonts w:ascii="Arial" w:hAnsi="Arial" w:cs="Arial"/>
          <w:i/>
          <w:sz w:val="20"/>
          <w:szCs w:val="20"/>
        </w:rPr>
        <w:t>:</w:t>
      </w:r>
      <w:r w:rsidR="00537065">
        <w:rPr>
          <w:rFonts w:ascii="Arial" w:hAnsi="Arial" w:cs="Arial"/>
          <w:sz w:val="20"/>
          <w:szCs w:val="20"/>
        </w:rPr>
        <w:t xml:space="preserve">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>A nagycsaládosokat megillető földgáz árkedvezménnyel kapcsolatos feladatok külön sorban történő feltüntetését az indokolja, hogy azok csak kiterjesztően értelmezve tartoznak a családtámogatási feladatok körébe.</w:t>
      </w:r>
    </w:p>
    <w:p w14:paraId="1E856845" w14:textId="3C4119C8" w:rsidR="00B53518" w:rsidRPr="00B53518" w:rsidRDefault="00B53518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65. Tűzvédelem</w:t>
      </w:r>
      <w:r w:rsidR="00537065" w:rsidRPr="00537065">
        <w:rPr>
          <w:rFonts w:ascii="Arial" w:hAnsi="Arial" w:cs="Arial"/>
          <w:i/>
          <w:sz w:val="20"/>
          <w:szCs w:val="20"/>
        </w:rPr>
        <w:t>:</w:t>
      </w:r>
      <w:r w:rsidR="00537065">
        <w:rPr>
          <w:rFonts w:ascii="Arial" w:hAnsi="Arial" w:cs="Arial"/>
          <w:sz w:val="20"/>
          <w:szCs w:val="20"/>
        </w:rPr>
        <w:t xml:space="preserve"> </w:t>
      </w:r>
      <w:r w:rsidR="00537065" w:rsidRPr="00537065">
        <w:rPr>
          <w:rFonts w:ascii="Arial" w:hAnsi="Arial" w:cs="Arial"/>
          <w:sz w:val="20"/>
          <w:szCs w:val="20"/>
        </w:rPr>
        <w:t xml:space="preserve">Az állam működését érintő egyes törvények módosításáról szóló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 xml:space="preserve">2024. évi XXIX. törvényben és az egyes hatósági hatáskörök változásáról szóló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 xml:space="preserve">257/2024. (VIII. 29.) Korm. rendeletben foglaltak alapján 2024. október 1-jétől a </w:t>
      </w:r>
      <w:r w:rsidR="00713527">
        <w:rPr>
          <w:rFonts w:ascii="Arial" w:hAnsi="Arial" w:cs="Arial"/>
          <w:sz w:val="20"/>
          <w:szCs w:val="20"/>
        </w:rPr>
        <w:t>fővárosi és v</w:t>
      </w:r>
      <w:r w:rsidR="00537065" w:rsidRPr="00537065">
        <w:rPr>
          <w:rFonts w:ascii="Arial" w:hAnsi="Arial" w:cs="Arial"/>
          <w:sz w:val="20"/>
          <w:szCs w:val="20"/>
        </w:rPr>
        <w:t xml:space="preserve">ármegyei </w:t>
      </w:r>
      <w:r w:rsidR="00713527">
        <w:rPr>
          <w:rFonts w:ascii="Arial" w:hAnsi="Arial" w:cs="Arial"/>
          <w:sz w:val="20"/>
          <w:szCs w:val="20"/>
        </w:rPr>
        <w:t>k</w:t>
      </w:r>
      <w:r w:rsidR="00537065" w:rsidRPr="00537065">
        <w:rPr>
          <w:rFonts w:ascii="Arial" w:hAnsi="Arial" w:cs="Arial"/>
          <w:sz w:val="20"/>
          <w:szCs w:val="20"/>
        </w:rPr>
        <w:t>ormányhivatalok látják el a tűzvédelmi hatósági hatáskört.</w:t>
      </w:r>
    </w:p>
    <w:p w14:paraId="7EFDF2E8" w14:textId="1C1EB306" w:rsidR="00B53518" w:rsidRPr="00B53518" w:rsidRDefault="00B53518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72. Vízügyi hatósági feladatok</w:t>
      </w:r>
      <w:r w:rsidR="00537065" w:rsidRPr="00537065">
        <w:rPr>
          <w:rFonts w:ascii="Arial" w:hAnsi="Arial" w:cs="Arial"/>
          <w:i/>
          <w:sz w:val="20"/>
          <w:szCs w:val="20"/>
        </w:rPr>
        <w:t>:</w:t>
      </w:r>
      <w:r w:rsidR="00537065">
        <w:rPr>
          <w:rFonts w:ascii="Arial" w:hAnsi="Arial" w:cs="Arial"/>
          <w:sz w:val="20"/>
          <w:szCs w:val="20"/>
        </w:rPr>
        <w:t xml:space="preserve"> </w:t>
      </w:r>
      <w:r w:rsidR="00537065" w:rsidRPr="00537065">
        <w:rPr>
          <w:rFonts w:ascii="Arial" w:hAnsi="Arial" w:cs="Arial"/>
          <w:sz w:val="20"/>
          <w:szCs w:val="20"/>
        </w:rPr>
        <w:t xml:space="preserve">Az állam működését érintő egyes törvények módosításáról szóló 2024. évi XXIX. törvényben és az egyes hatósági hatáskörök változásáról szóló 257/2024. (VIII. 29.) Korm. rendeletben foglaltak alapján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 xml:space="preserve">2024. október 1-jétől a </w:t>
      </w:r>
      <w:r w:rsidR="009860B2">
        <w:rPr>
          <w:rFonts w:ascii="Arial" w:hAnsi="Arial" w:cs="Arial"/>
          <w:sz w:val="20"/>
          <w:szCs w:val="20"/>
        </w:rPr>
        <w:t>fővárosi és v</w:t>
      </w:r>
      <w:r w:rsidR="00537065" w:rsidRPr="00537065">
        <w:rPr>
          <w:rFonts w:ascii="Arial" w:hAnsi="Arial" w:cs="Arial"/>
          <w:sz w:val="20"/>
          <w:szCs w:val="20"/>
        </w:rPr>
        <w:t xml:space="preserve">ármegyei </w:t>
      </w:r>
      <w:r w:rsidR="009860B2">
        <w:rPr>
          <w:rFonts w:ascii="Arial" w:hAnsi="Arial" w:cs="Arial"/>
          <w:sz w:val="20"/>
          <w:szCs w:val="20"/>
        </w:rPr>
        <w:t>k</w:t>
      </w:r>
      <w:r w:rsidR="00537065" w:rsidRPr="00537065">
        <w:rPr>
          <w:rFonts w:ascii="Arial" w:hAnsi="Arial" w:cs="Arial"/>
          <w:sz w:val="20"/>
          <w:szCs w:val="20"/>
        </w:rPr>
        <w:t>ormányhivatalok látják el a vízügyi</w:t>
      </w:r>
      <w:r w:rsidR="00151148">
        <w:rPr>
          <w:rFonts w:ascii="Arial" w:hAnsi="Arial" w:cs="Arial"/>
          <w:sz w:val="20"/>
          <w:szCs w:val="20"/>
        </w:rPr>
        <w:t xml:space="preserve"> </w:t>
      </w:r>
      <w:r w:rsidR="00537065" w:rsidRPr="00537065">
        <w:rPr>
          <w:rFonts w:ascii="Arial" w:hAnsi="Arial" w:cs="Arial"/>
          <w:sz w:val="20"/>
          <w:szCs w:val="20"/>
        </w:rPr>
        <w:t>hatósági hatáskört.</w:t>
      </w:r>
    </w:p>
    <w:p w14:paraId="6F5CB84C" w14:textId="5C7150E8" w:rsidR="00B53518" w:rsidRPr="00B53518" w:rsidRDefault="00B53518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73. Vízvédelmi hatósági feladatok</w:t>
      </w:r>
      <w:r w:rsidR="00537065" w:rsidRPr="00537065">
        <w:rPr>
          <w:rFonts w:ascii="Arial" w:hAnsi="Arial" w:cs="Arial"/>
          <w:i/>
          <w:sz w:val="20"/>
          <w:szCs w:val="20"/>
        </w:rPr>
        <w:t>:</w:t>
      </w:r>
      <w:r w:rsidR="00537065">
        <w:rPr>
          <w:rFonts w:ascii="Arial" w:hAnsi="Arial" w:cs="Arial"/>
          <w:sz w:val="20"/>
          <w:szCs w:val="20"/>
        </w:rPr>
        <w:t xml:space="preserve"> </w:t>
      </w:r>
      <w:r w:rsidR="00537065" w:rsidRPr="00537065">
        <w:rPr>
          <w:rFonts w:ascii="Arial" w:hAnsi="Arial" w:cs="Arial"/>
          <w:sz w:val="20"/>
          <w:szCs w:val="20"/>
        </w:rPr>
        <w:t xml:space="preserve">Az állam működését érintő egyes törvények módosításáról szóló 2024. évi XXIX. törvényben és az egyes hatósági hatáskörök változásáról szóló 257/2024. (VIII. 29.) Korm. rendeletben foglaltak alapján </w:t>
      </w:r>
      <w:r w:rsidR="00502A0A">
        <w:rPr>
          <w:rFonts w:ascii="Arial" w:hAnsi="Arial" w:cs="Arial"/>
          <w:sz w:val="20"/>
          <w:szCs w:val="20"/>
        </w:rPr>
        <w:br/>
      </w:r>
      <w:r w:rsidR="00537065" w:rsidRPr="00537065">
        <w:rPr>
          <w:rFonts w:ascii="Arial" w:hAnsi="Arial" w:cs="Arial"/>
          <w:sz w:val="20"/>
          <w:szCs w:val="20"/>
        </w:rPr>
        <w:t xml:space="preserve">2024. október 1-jétől a </w:t>
      </w:r>
      <w:r w:rsidR="009860B2">
        <w:rPr>
          <w:rFonts w:ascii="Arial" w:hAnsi="Arial" w:cs="Arial"/>
          <w:sz w:val="20"/>
          <w:szCs w:val="20"/>
        </w:rPr>
        <w:t>fővárosi és v</w:t>
      </w:r>
      <w:r w:rsidR="00537065" w:rsidRPr="00537065">
        <w:rPr>
          <w:rFonts w:ascii="Arial" w:hAnsi="Arial" w:cs="Arial"/>
          <w:sz w:val="20"/>
          <w:szCs w:val="20"/>
        </w:rPr>
        <w:t xml:space="preserve">ármegyei </w:t>
      </w:r>
      <w:r w:rsidR="009860B2">
        <w:rPr>
          <w:rFonts w:ascii="Arial" w:hAnsi="Arial" w:cs="Arial"/>
          <w:sz w:val="20"/>
          <w:szCs w:val="20"/>
        </w:rPr>
        <w:t>k</w:t>
      </w:r>
      <w:r w:rsidR="00537065" w:rsidRPr="00537065">
        <w:rPr>
          <w:rFonts w:ascii="Arial" w:hAnsi="Arial" w:cs="Arial"/>
          <w:sz w:val="20"/>
          <w:szCs w:val="20"/>
        </w:rPr>
        <w:t>ormányhivatalok látják el a vízvédelmi hatósági hatáskört.</w:t>
      </w:r>
    </w:p>
    <w:p w14:paraId="53172BED" w14:textId="77777777" w:rsidR="00B53518" w:rsidRPr="00537065" w:rsidRDefault="00B53518" w:rsidP="00B53518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AFD07BA" w14:textId="77777777" w:rsidR="00537065" w:rsidRDefault="00537065" w:rsidP="00537065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181E423D" w14:textId="77777777" w:rsidR="00537065" w:rsidRDefault="00537065" w:rsidP="00537065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537065">
        <w:rPr>
          <w:rFonts w:ascii="Arial" w:hAnsi="Arial" w:cs="Arial"/>
          <w:b/>
          <w:sz w:val="20"/>
          <w:szCs w:val="20"/>
        </w:rPr>
        <w:t>Módosult hatásköri sorok</w:t>
      </w:r>
    </w:p>
    <w:p w14:paraId="5BDFE591" w14:textId="77777777" w:rsidR="00537065" w:rsidRPr="00537065" w:rsidRDefault="00537065" w:rsidP="00537065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776C97D" w14:textId="0635B78D" w:rsidR="00B53518" w:rsidRPr="00537065" w:rsidRDefault="00B53518" w:rsidP="00EF1A40">
      <w:pPr>
        <w:pStyle w:val="Listaszerbekezds"/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17. építésügy</w:t>
      </w:r>
      <w:r w:rsidRPr="003922C1">
        <w:rPr>
          <w:rFonts w:ascii="Arial" w:hAnsi="Arial" w:cs="Arial"/>
          <w:b/>
          <w:sz w:val="20"/>
          <w:szCs w:val="20"/>
        </w:rPr>
        <w:t xml:space="preserve"> </w:t>
      </w:r>
      <w:r w:rsidRPr="003B78C0">
        <w:rPr>
          <w:rFonts w:ascii="Arial" w:hAnsi="Arial" w:cs="Arial"/>
          <w:i/>
          <w:sz w:val="20"/>
          <w:szCs w:val="20"/>
        </w:rPr>
        <w:t>(„és építésfelügyelet” rész törlése)</w:t>
      </w:r>
      <w:r w:rsidR="00537065">
        <w:rPr>
          <w:rFonts w:ascii="Arial" w:hAnsi="Arial" w:cs="Arial"/>
          <w:sz w:val="20"/>
          <w:szCs w:val="20"/>
        </w:rPr>
        <w:t xml:space="preserve">: </w:t>
      </w:r>
      <w:r w:rsidR="00537065" w:rsidRPr="00537065">
        <w:rPr>
          <w:rFonts w:ascii="Arial" w:hAnsi="Arial" w:cs="Arial"/>
          <w:sz w:val="20"/>
          <w:szCs w:val="20"/>
        </w:rPr>
        <w:t xml:space="preserve">Az építésügyi hatóságok kijelöléséről és működési feltételeiről szóló 237/2024. (VIII.8.) Korm. rendelet </w:t>
      </w:r>
      <w:r w:rsidR="003B78C0" w:rsidRPr="003B78C0">
        <w:rPr>
          <w:rFonts w:ascii="Arial" w:hAnsi="Arial" w:cs="Arial"/>
          <w:sz w:val="20"/>
          <w:szCs w:val="20"/>
        </w:rPr>
        <w:t>2024. október 1-én hatályba lépett rendelkezé</w:t>
      </w:r>
      <w:r w:rsidR="003B78C0">
        <w:rPr>
          <w:rFonts w:ascii="Arial" w:hAnsi="Arial" w:cs="Arial"/>
          <w:sz w:val="20"/>
          <w:szCs w:val="20"/>
        </w:rPr>
        <w:t>sei</w:t>
      </w:r>
      <w:r w:rsidR="003B78C0" w:rsidRPr="00537065">
        <w:rPr>
          <w:rFonts w:ascii="Arial" w:hAnsi="Arial" w:cs="Arial"/>
          <w:sz w:val="20"/>
          <w:szCs w:val="20"/>
        </w:rPr>
        <w:t xml:space="preserve"> </w:t>
      </w:r>
      <w:r w:rsidR="00537065" w:rsidRPr="00537065">
        <w:rPr>
          <w:rFonts w:ascii="Arial" w:hAnsi="Arial" w:cs="Arial"/>
          <w:sz w:val="20"/>
          <w:szCs w:val="20"/>
        </w:rPr>
        <w:t>alapján a</w:t>
      </w:r>
      <w:r w:rsidR="009860B2">
        <w:rPr>
          <w:rFonts w:ascii="Arial" w:hAnsi="Arial" w:cs="Arial"/>
          <w:sz w:val="20"/>
          <w:szCs w:val="20"/>
        </w:rPr>
        <w:t xml:space="preserve"> fővárosi és vármegyei kormányhivatalok építésfelügyeleti</w:t>
      </w:r>
      <w:r w:rsidR="00537065" w:rsidRPr="00537065">
        <w:rPr>
          <w:rFonts w:ascii="Arial" w:hAnsi="Arial" w:cs="Arial"/>
          <w:sz w:val="20"/>
          <w:szCs w:val="20"/>
        </w:rPr>
        <w:t xml:space="preserve"> hatáskör</w:t>
      </w:r>
      <w:r w:rsidR="009860B2">
        <w:rPr>
          <w:rFonts w:ascii="Arial" w:hAnsi="Arial" w:cs="Arial"/>
          <w:sz w:val="20"/>
          <w:szCs w:val="20"/>
        </w:rPr>
        <w:t>e</w:t>
      </w:r>
      <w:r w:rsidR="00537065" w:rsidRPr="00537065">
        <w:rPr>
          <w:rFonts w:ascii="Arial" w:hAnsi="Arial" w:cs="Arial"/>
          <w:sz w:val="20"/>
          <w:szCs w:val="20"/>
        </w:rPr>
        <w:t xml:space="preserve"> megszűnt.</w:t>
      </w:r>
    </w:p>
    <w:p w14:paraId="631C83C5" w14:textId="08597BFD" w:rsidR="00B53518" w:rsidRPr="00B53518" w:rsidRDefault="00B53518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34. Korlátozás</w:t>
      </w:r>
      <w:r w:rsidR="009860B2">
        <w:rPr>
          <w:rFonts w:ascii="Arial" w:hAnsi="Arial" w:cs="Arial"/>
          <w:b/>
          <w:i/>
          <w:sz w:val="20"/>
          <w:szCs w:val="20"/>
        </w:rPr>
        <w:t>i</w:t>
      </w:r>
      <w:r w:rsidRPr="003922C1">
        <w:rPr>
          <w:rFonts w:ascii="Arial" w:hAnsi="Arial" w:cs="Arial"/>
          <w:b/>
          <w:i/>
          <w:sz w:val="20"/>
          <w:szCs w:val="20"/>
        </w:rPr>
        <w:t>/építésjogi kártalanítási ügyek</w:t>
      </w:r>
      <w:r w:rsidR="003B78C0">
        <w:rPr>
          <w:rFonts w:ascii="Arial" w:hAnsi="Arial" w:cs="Arial"/>
          <w:i/>
          <w:sz w:val="20"/>
          <w:szCs w:val="20"/>
        </w:rPr>
        <w:t xml:space="preserve"> (kiegészítés)</w:t>
      </w:r>
      <w:r w:rsidR="003B78C0" w:rsidRPr="003B78C0">
        <w:rPr>
          <w:rFonts w:ascii="Arial" w:hAnsi="Arial" w:cs="Arial"/>
          <w:i/>
          <w:sz w:val="20"/>
          <w:szCs w:val="20"/>
        </w:rPr>
        <w:t>:</w:t>
      </w:r>
      <w:r w:rsidR="003B78C0">
        <w:rPr>
          <w:rFonts w:ascii="Arial" w:hAnsi="Arial" w:cs="Arial"/>
          <w:sz w:val="20"/>
          <w:szCs w:val="20"/>
        </w:rPr>
        <w:t xml:space="preserve"> </w:t>
      </w:r>
      <w:r w:rsidR="003B78C0" w:rsidRPr="003B78C0">
        <w:rPr>
          <w:rFonts w:ascii="Arial" w:hAnsi="Arial" w:cs="Arial"/>
          <w:sz w:val="20"/>
          <w:szCs w:val="20"/>
        </w:rPr>
        <w:t xml:space="preserve">A magyar építészetről szóló 2023. évi C. törvény (a továbbiakban: </w:t>
      </w:r>
      <w:proofErr w:type="spellStart"/>
      <w:r w:rsidR="003B78C0" w:rsidRPr="003B78C0">
        <w:rPr>
          <w:rFonts w:ascii="Arial" w:hAnsi="Arial" w:cs="Arial"/>
          <w:sz w:val="20"/>
          <w:szCs w:val="20"/>
        </w:rPr>
        <w:t>Méptv</w:t>
      </w:r>
      <w:proofErr w:type="spellEnd"/>
      <w:r w:rsidR="003B78C0" w:rsidRPr="003B78C0">
        <w:rPr>
          <w:rFonts w:ascii="Arial" w:hAnsi="Arial" w:cs="Arial"/>
          <w:sz w:val="20"/>
          <w:szCs w:val="20"/>
        </w:rPr>
        <w:t>.) 90. §-a 2024. október 1. napjától építésjogi kártalanításként szabályozza a jogintézményt. Figyelemmel azonban arra, hogy a korábbi megnevezéssel szintén érintettek lehetnek más eljárások, a korábbi szóhasználat ezen ügyek tekintetében továbbra is indokolt marad.</w:t>
      </w:r>
    </w:p>
    <w:p w14:paraId="57F801B8" w14:textId="77777777" w:rsidR="00B53518" w:rsidRDefault="00B53518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066D1EC" w14:textId="77777777" w:rsidR="003B78C0" w:rsidRDefault="003B78C0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3904205" w14:textId="77777777" w:rsidR="003B78C0" w:rsidRDefault="003B78C0" w:rsidP="00B53518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3B78C0">
        <w:rPr>
          <w:rFonts w:ascii="Arial" w:hAnsi="Arial" w:cs="Arial"/>
          <w:b/>
          <w:sz w:val="20"/>
          <w:szCs w:val="20"/>
          <w:u w:val="single"/>
        </w:rPr>
        <w:t>KH/2. tábla</w:t>
      </w:r>
    </w:p>
    <w:p w14:paraId="30419A40" w14:textId="77777777" w:rsidR="003B78C0" w:rsidRDefault="003B78C0" w:rsidP="003B78C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5FC75A52" w14:textId="77777777" w:rsidR="003B78C0" w:rsidRDefault="003B78C0" w:rsidP="003B78C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Új hatásköri sor (emiatt változik a számozás is)</w:t>
      </w:r>
    </w:p>
    <w:p w14:paraId="7DE0EA28" w14:textId="77777777" w:rsidR="003922C1" w:rsidRDefault="003922C1" w:rsidP="003B78C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883EFBA" w14:textId="2BDEF531" w:rsidR="003B78C0" w:rsidRPr="003B78C0" w:rsidRDefault="003B78C0" w:rsidP="00EF1A40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2. állami foglalkoztatási szervi feladatok - foglalkoztatás-felügyeleti ügyek</w:t>
      </w:r>
      <w:r w:rsidRPr="003B78C0"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3B78C0">
        <w:rPr>
          <w:rFonts w:ascii="Arial" w:hAnsi="Arial" w:cs="Arial"/>
          <w:sz w:val="20"/>
          <w:szCs w:val="20"/>
        </w:rPr>
        <w:t xml:space="preserve">A </w:t>
      </w:r>
      <w:r w:rsidR="00A95F4D">
        <w:rPr>
          <w:rFonts w:ascii="Arial" w:hAnsi="Arial" w:cs="Arial"/>
          <w:sz w:val="20"/>
          <w:szCs w:val="20"/>
        </w:rPr>
        <w:t xml:space="preserve">fővárosi és vérmegyei kormányhivatal </w:t>
      </w:r>
      <w:r w:rsidRPr="003B78C0">
        <w:rPr>
          <w:rFonts w:ascii="Arial" w:hAnsi="Arial" w:cs="Arial"/>
          <w:sz w:val="20"/>
          <w:szCs w:val="20"/>
        </w:rPr>
        <w:t>felügyeleti jogkört gyakorol a</w:t>
      </w:r>
      <w:r w:rsidR="00A95F4D">
        <w:rPr>
          <w:rFonts w:ascii="Arial" w:hAnsi="Arial" w:cs="Arial"/>
          <w:sz w:val="20"/>
          <w:szCs w:val="20"/>
        </w:rPr>
        <w:t>z</w:t>
      </w:r>
      <w:r w:rsidRPr="003B78C0">
        <w:rPr>
          <w:rFonts w:ascii="Arial" w:hAnsi="Arial" w:cs="Arial"/>
          <w:sz w:val="20"/>
          <w:szCs w:val="20"/>
        </w:rPr>
        <w:t xml:space="preserve"> állami foglalkoztatási szervként eljáró járási hivatal</w:t>
      </w:r>
      <w:r w:rsidR="00A95F4D">
        <w:rPr>
          <w:rFonts w:ascii="Arial" w:hAnsi="Arial" w:cs="Arial"/>
          <w:sz w:val="20"/>
          <w:szCs w:val="20"/>
        </w:rPr>
        <w:t>ok</w:t>
      </w:r>
      <w:r w:rsidRPr="003B78C0">
        <w:rPr>
          <w:rFonts w:ascii="Arial" w:hAnsi="Arial" w:cs="Arial"/>
          <w:sz w:val="20"/>
          <w:szCs w:val="20"/>
        </w:rPr>
        <w:t xml:space="preserve"> felett. A felügyeleti jogkör gyakorlása során előfordulhat, hogy </w:t>
      </w:r>
      <w:r w:rsidR="00A95F4D">
        <w:rPr>
          <w:rFonts w:ascii="Arial" w:hAnsi="Arial" w:cs="Arial"/>
          <w:sz w:val="20"/>
          <w:szCs w:val="20"/>
        </w:rPr>
        <w:t xml:space="preserve">a kormányhivatal </w:t>
      </w:r>
      <w:r w:rsidRPr="003B78C0">
        <w:rPr>
          <w:rFonts w:ascii="Arial" w:hAnsi="Arial" w:cs="Arial"/>
          <w:sz w:val="20"/>
          <w:szCs w:val="20"/>
        </w:rPr>
        <w:t>olyan jogsértést tapasztal, amely alapján felügyeleti jogkörében döntést kell hoznia.</w:t>
      </w:r>
    </w:p>
    <w:p w14:paraId="5DF2F725" w14:textId="77777777" w:rsidR="00502A0A" w:rsidRDefault="00502A0A" w:rsidP="00EF1A40">
      <w:pPr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8907B54" w14:textId="4B2823D1" w:rsidR="003B78C0" w:rsidRPr="003B78C0" w:rsidRDefault="00A95F4D" w:rsidP="00EF1A40">
      <w:pPr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Jogszabályi háttér</w:t>
      </w:r>
      <w:r w:rsidR="003B78C0" w:rsidRPr="003B78C0">
        <w:rPr>
          <w:rFonts w:ascii="Arial" w:hAnsi="Arial" w:cs="Arial"/>
          <w:sz w:val="20"/>
          <w:szCs w:val="20"/>
        </w:rPr>
        <w:t xml:space="preserve">: </w:t>
      </w:r>
    </w:p>
    <w:p w14:paraId="19D8074E" w14:textId="77581909" w:rsidR="003B78C0" w:rsidRPr="00502A0A" w:rsidRDefault="003B78C0" w:rsidP="00502A0A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02A0A">
        <w:rPr>
          <w:rFonts w:ascii="Arial" w:hAnsi="Arial" w:cs="Arial"/>
          <w:sz w:val="20"/>
          <w:szCs w:val="20"/>
        </w:rPr>
        <w:t xml:space="preserve"> A foglalkoztatás elősegítéséről és a munkanélküliek ellátásáról szóló </w:t>
      </w:r>
      <w:r w:rsidR="00502A0A">
        <w:rPr>
          <w:rFonts w:ascii="Arial" w:hAnsi="Arial" w:cs="Arial"/>
          <w:sz w:val="20"/>
          <w:szCs w:val="20"/>
        </w:rPr>
        <w:br/>
      </w:r>
      <w:r w:rsidRPr="00502A0A">
        <w:rPr>
          <w:rFonts w:ascii="Arial" w:hAnsi="Arial" w:cs="Arial"/>
          <w:sz w:val="20"/>
          <w:szCs w:val="20"/>
        </w:rPr>
        <w:t xml:space="preserve">1991. évi IV. törvény, valamint az 1991. évi IV. törvény felhatalmazása alapján kiadott jogszabályok. </w:t>
      </w:r>
    </w:p>
    <w:p w14:paraId="0F9D013F" w14:textId="5C375BBE" w:rsidR="003B78C0" w:rsidRPr="00502A0A" w:rsidRDefault="003B78C0" w:rsidP="00502A0A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02A0A">
        <w:rPr>
          <w:rFonts w:ascii="Arial" w:hAnsi="Arial" w:cs="Arial"/>
          <w:sz w:val="20"/>
          <w:szCs w:val="20"/>
        </w:rPr>
        <w:t xml:space="preserve">A közfoglalkoztatásról és a közfoglalkoztatáshoz kapcsolódó, valamint egyéb törvények módosításáról szóló 2011. évi CVI. törvény, valamint az 2011. évi CVI. törvény felhatalmazása alapján kiadott jogszabályok. </w:t>
      </w:r>
    </w:p>
    <w:p w14:paraId="1545936C" w14:textId="5FEF3884" w:rsidR="003B78C0" w:rsidRPr="00502A0A" w:rsidRDefault="003B78C0" w:rsidP="00502A0A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02A0A">
        <w:rPr>
          <w:rFonts w:ascii="Arial" w:hAnsi="Arial" w:cs="Arial"/>
          <w:sz w:val="20"/>
          <w:szCs w:val="20"/>
        </w:rPr>
        <w:t xml:space="preserve"> A foglalkoztatást elősegítő szolgáltatásokról és támogatásokról, valamint a foglalkoztatás felügyeletéről szóló 2020. évi CXXXV. törvény, valamint az </w:t>
      </w:r>
      <w:r w:rsidR="00502A0A">
        <w:rPr>
          <w:rFonts w:ascii="Arial" w:hAnsi="Arial" w:cs="Arial"/>
          <w:sz w:val="20"/>
          <w:szCs w:val="20"/>
        </w:rPr>
        <w:br/>
      </w:r>
      <w:r w:rsidRPr="00502A0A">
        <w:rPr>
          <w:rFonts w:ascii="Arial" w:hAnsi="Arial" w:cs="Arial"/>
          <w:sz w:val="20"/>
          <w:szCs w:val="20"/>
        </w:rPr>
        <w:t xml:space="preserve">2020. évi CXXXV. törvény felhatalmazása alapján kiadott jogszabályok. </w:t>
      </w:r>
    </w:p>
    <w:p w14:paraId="29355F4B" w14:textId="3C65B4E4" w:rsidR="003B78C0" w:rsidRPr="00502A0A" w:rsidRDefault="003B78C0" w:rsidP="00502A0A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02A0A">
        <w:rPr>
          <w:rFonts w:ascii="Arial" w:hAnsi="Arial" w:cs="Arial"/>
          <w:sz w:val="20"/>
          <w:szCs w:val="20"/>
        </w:rPr>
        <w:t xml:space="preserve"> A harmadik országbeli állampolgárok beutazására és tartózkodására vonatkozó általános szabályokról szóló 2023. évi XC. törvény, valamint az 2023. évi XC. törvény felhatalmazása alapján kiadott jogszabályok. </w:t>
      </w:r>
    </w:p>
    <w:p w14:paraId="7F95778A" w14:textId="09C55C7E" w:rsidR="003B78C0" w:rsidRPr="00502A0A" w:rsidRDefault="003B78C0" w:rsidP="00502A0A">
      <w:pPr>
        <w:pStyle w:val="Listaszerbekezds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02A0A">
        <w:rPr>
          <w:rFonts w:ascii="Arial" w:hAnsi="Arial" w:cs="Arial"/>
          <w:sz w:val="20"/>
          <w:szCs w:val="20"/>
        </w:rPr>
        <w:t xml:space="preserve"> Az állami foglalkoztatási szerv, a munkavédelmi és munkaügyi hatóság kijelöléséről, valamint e szervek hatósági és más feladatainak ellátásáról szóló </w:t>
      </w:r>
      <w:r w:rsidR="00502A0A">
        <w:rPr>
          <w:rFonts w:ascii="Arial" w:hAnsi="Arial" w:cs="Arial"/>
          <w:sz w:val="20"/>
          <w:szCs w:val="20"/>
        </w:rPr>
        <w:br/>
      </w:r>
      <w:r w:rsidRPr="00502A0A">
        <w:rPr>
          <w:rFonts w:ascii="Arial" w:hAnsi="Arial" w:cs="Arial"/>
          <w:sz w:val="20"/>
          <w:szCs w:val="20"/>
        </w:rPr>
        <w:t>320/2014. (XII. 13.) Korm. rendelet.</w:t>
      </w:r>
    </w:p>
    <w:p w14:paraId="2417EB49" w14:textId="77777777" w:rsidR="003B78C0" w:rsidRDefault="003B78C0" w:rsidP="003B78C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44AA16A0" w14:textId="77777777" w:rsidR="003B78C0" w:rsidRDefault="003B78C0" w:rsidP="003B78C0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4C32E06D" w14:textId="77777777" w:rsidR="003B78C0" w:rsidRPr="003B78C0" w:rsidRDefault="003B78C0" w:rsidP="003B78C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</w:t>
      </w:r>
      <w:r w:rsidRPr="003B78C0">
        <w:rPr>
          <w:rFonts w:ascii="Arial" w:hAnsi="Arial" w:cs="Arial"/>
          <w:b/>
          <w:sz w:val="20"/>
          <w:szCs w:val="20"/>
        </w:rPr>
        <w:t>ódosult hatásköri sorok</w:t>
      </w:r>
    </w:p>
    <w:p w14:paraId="56D88971" w14:textId="77777777" w:rsidR="003B78C0" w:rsidRDefault="003B78C0" w:rsidP="003B78C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4C1D97B4" w14:textId="0239B11F" w:rsidR="003922C1" w:rsidRDefault="003B78C0" w:rsidP="00EF1A40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7. népegészségügy</w:t>
      </w:r>
      <w:r w:rsidRPr="003B78C0">
        <w:rPr>
          <w:rFonts w:ascii="Arial" w:hAnsi="Arial" w:cs="Arial"/>
          <w:sz w:val="20"/>
          <w:szCs w:val="20"/>
        </w:rPr>
        <w:t xml:space="preserve"> </w:t>
      </w:r>
      <w:r w:rsidRPr="003922C1">
        <w:rPr>
          <w:rFonts w:ascii="Arial" w:hAnsi="Arial" w:cs="Arial"/>
          <w:i/>
          <w:sz w:val="20"/>
          <w:szCs w:val="20"/>
        </w:rPr>
        <w:t>(egészségügyi igazgatás helyett)</w:t>
      </w:r>
      <w:r w:rsidR="003922C1" w:rsidRPr="003922C1">
        <w:rPr>
          <w:rFonts w:ascii="Arial" w:hAnsi="Arial" w:cs="Arial"/>
          <w:i/>
          <w:sz w:val="20"/>
          <w:szCs w:val="20"/>
        </w:rPr>
        <w:t>:</w:t>
      </w:r>
      <w:r w:rsidR="003922C1">
        <w:rPr>
          <w:rFonts w:ascii="Arial" w:hAnsi="Arial" w:cs="Arial"/>
          <w:sz w:val="20"/>
          <w:szCs w:val="20"/>
        </w:rPr>
        <w:t xml:space="preserve"> A </w:t>
      </w:r>
      <w:r w:rsidR="003922C1" w:rsidRPr="003922C1">
        <w:rPr>
          <w:rFonts w:ascii="Arial" w:hAnsi="Arial" w:cs="Arial"/>
          <w:sz w:val="20"/>
          <w:szCs w:val="20"/>
        </w:rPr>
        <w:t xml:space="preserve">fővárosi és </w:t>
      </w:r>
      <w:r w:rsidR="003922C1">
        <w:rPr>
          <w:rFonts w:ascii="Arial" w:hAnsi="Arial" w:cs="Arial"/>
          <w:sz w:val="20"/>
          <w:szCs w:val="20"/>
        </w:rPr>
        <w:t>vár</w:t>
      </w:r>
      <w:r w:rsidR="003922C1" w:rsidRPr="003922C1">
        <w:rPr>
          <w:rFonts w:ascii="Arial" w:hAnsi="Arial" w:cs="Arial"/>
          <w:sz w:val="20"/>
          <w:szCs w:val="20"/>
        </w:rPr>
        <w:t xml:space="preserve">megyei kormányhivatal, valamint a járási (fővárosi kerületi) hivatal népegészségügyi feladatai ellátásáról, továbbá az egészségügyi államigazgatási szerv kijelöléséről szóló </w:t>
      </w:r>
      <w:r w:rsidR="00502A0A">
        <w:rPr>
          <w:rFonts w:ascii="Arial" w:hAnsi="Arial" w:cs="Arial"/>
          <w:sz w:val="20"/>
          <w:szCs w:val="20"/>
        </w:rPr>
        <w:br/>
      </w:r>
      <w:r w:rsidR="003922C1" w:rsidRPr="003922C1">
        <w:rPr>
          <w:rFonts w:ascii="Arial" w:hAnsi="Arial" w:cs="Arial"/>
          <w:sz w:val="20"/>
          <w:szCs w:val="20"/>
        </w:rPr>
        <w:t>385/20</w:t>
      </w:r>
      <w:r w:rsidR="003922C1">
        <w:rPr>
          <w:rFonts w:ascii="Arial" w:hAnsi="Arial" w:cs="Arial"/>
          <w:sz w:val="20"/>
          <w:szCs w:val="20"/>
        </w:rPr>
        <w:t xml:space="preserve">16. (XII. 2.) Korm. rendelet </w:t>
      </w:r>
      <w:r w:rsidR="003922C1" w:rsidRPr="003922C1">
        <w:rPr>
          <w:rFonts w:ascii="Arial" w:hAnsi="Arial" w:cs="Arial"/>
          <w:sz w:val="20"/>
          <w:szCs w:val="20"/>
        </w:rPr>
        <w:t>népegészségügyi hatáskört neve</w:t>
      </w:r>
      <w:r w:rsidR="003922C1">
        <w:rPr>
          <w:rFonts w:ascii="Arial" w:hAnsi="Arial" w:cs="Arial"/>
          <w:sz w:val="20"/>
          <w:szCs w:val="20"/>
        </w:rPr>
        <w:t xml:space="preserve">sít. </w:t>
      </w:r>
    </w:p>
    <w:p w14:paraId="2651C48F" w14:textId="77777777" w:rsidR="003922C1" w:rsidRPr="003922C1" w:rsidRDefault="003922C1" w:rsidP="00EF1A40">
      <w:pPr>
        <w:pStyle w:val="Listaszerbekezds"/>
        <w:spacing w:after="0"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iCs/>
          <w:sz w:val="20"/>
          <w:szCs w:val="20"/>
        </w:rPr>
        <w:t xml:space="preserve">„2. § (1) A kormányhivatal </w:t>
      </w:r>
      <w:r w:rsidRPr="003922C1">
        <w:rPr>
          <w:rFonts w:ascii="Arial" w:hAnsi="Arial" w:cs="Arial"/>
          <w:b/>
          <w:bCs/>
          <w:iCs/>
          <w:sz w:val="20"/>
          <w:szCs w:val="20"/>
        </w:rPr>
        <w:t xml:space="preserve">népegészségügyi feladatai </w:t>
      </w:r>
      <w:r w:rsidRPr="003922C1">
        <w:rPr>
          <w:rFonts w:ascii="Arial" w:hAnsi="Arial" w:cs="Arial"/>
          <w:iCs/>
          <w:sz w:val="20"/>
          <w:szCs w:val="20"/>
        </w:rPr>
        <w:t xml:space="preserve">keretében </w:t>
      </w:r>
    </w:p>
    <w:p w14:paraId="29EE7891" w14:textId="77777777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F734C8">
        <w:rPr>
          <w:rFonts w:ascii="Arial" w:hAnsi="Arial" w:cs="Arial"/>
          <w:i/>
          <w:iCs/>
          <w:sz w:val="20"/>
          <w:szCs w:val="20"/>
        </w:rPr>
        <w:t>a)</w:t>
      </w:r>
      <w:r w:rsidRPr="003922C1">
        <w:rPr>
          <w:rFonts w:ascii="Arial" w:hAnsi="Arial" w:cs="Arial"/>
          <w:iCs/>
          <w:sz w:val="20"/>
          <w:szCs w:val="20"/>
        </w:rPr>
        <w:t xml:space="preserve"> a népegészségügyi feladatok tekintetében ellátja a járási hivatalok szakmai tevékenységének irányítását, koordinálását, szakmai felügyeletét, </w:t>
      </w:r>
    </w:p>
    <w:p w14:paraId="3C942B9E" w14:textId="4488FF1A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F734C8">
        <w:rPr>
          <w:rFonts w:ascii="Arial" w:hAnsi="Arial" w:cs="Arial"/>
          <w:i/>
          <w:iCs/>
          <w:sz w:val="20"/>
          <w:szCs w:val="20"/>
        </w:rPr>
        <w:t>b)</w:t>
      </w:r>
      <w:r w:rsidRPr="003922C1">
        <w:rPr>
          <w:rFonts w:ascii="Arial" w:hAnsi="Arial" w:cs="Arial"/>
          <w:iCs/>
          <w:sz w:val="20"/>
          <w:szCs w:val="20"/>
        </w:rPr>
        <w:t xml:space="preserve"> jogszabályban meghatározott ügyekben hatósági jogkört gyakorol, </w:t>
      </w:r>
    </w:p>
    <w:p w14:paraId="1B5A172E" w14:textId="77777777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iCs/>
          <w:sz w:val="20"/>
          <w:szCs w:val="20"/>
        </w:rPr>
        <w:t xml:space="preserve">c) ellátja az alapító okiratban, illetve jogszabályokban számára meghatározott feladatokat </w:t>
      </w:r>
    </w:p>
    <w:p w14:paraId="6A37FDD3" w14:textId="56AF5818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spellStart"/>
      <w:r w:rsidRPr="00F734C8">
        <w:rPr>
          <w:rFonts w:ascii="Arial" w:hAnsi="Arial" w:cs="Arial"/>
          <w:i/>
          <w:iCs/>
          <w:sz w:val="20"/>
          <w:szCs w:val="20"/>
        </w:rPr>
        <w:t>ca</w:t>
      </w:r>
      <w:proofErr w:type="spellEnd"/>
      <w:r w:rsidRPr="00F734C8">
        <w:rPr>
          <w:rFonts w:ascii="Arial" w:hAnsi="Arial" w:cs="Arial"/>
          <w:i/>
          <w:iCs/>
          <w:sz w:val="20"/>
          <w:szCs w:val="20"/>
        </w:rPr>
        <w:t>)</w:t>
      </w:r>
      <w:r w:rsidRPr="003922C1">
        <w:rPr>
          <w:rFonts w:ascii="Arial" w:hAnsi="Arial" w:cs="Arial"/>
          <w:iCs/>
          <w:sz w:val="20"/>
          <w:szCs w:val="20"/>
        </w:rPr>
        <w:t xml:space="preserve"> a közegészségügy (élelmezés-egészségügy, táplálkozás-egészségügy, környezet- és település-egészségügy, sugáregészségügy, kozmetikai termékek egészségügyi megfelelősége, kémiai biztonság, gyermek- és ifjúság-egészségügy) területén, mely feladatok ellátásához kémiai, sugáregészségügyi, bakteriológiai és </w:t>
      </w:r>
      <w:proofErr w:type="spellStart"/>
      <w:r w:rsidRPr="003922C1">
        <w:rPr>
          <w:rFonts w:ascii="Arial" w:hAnsi="Arial" w:cs="Arial"/>
          <w:iCs/>
          <w:sz w:val="20"/>
          <w:szCs w:val="20"/>
        </w:rPr>
        <w:t>aerobiológiai</w:t>
      </w:r>
      <w:proofErr w:type="spellEnd"/>
      <w:r w:rsidRPr="003922C1">
        <w:rPr>
          <w:rFonts w:ascii="Arial" w:hAnsi="Arial" w:cs="Arial"/>
          <w:iCs/>
          <w:sz w:val="20"/>
          <w:szCs w:val="20"/>
        </w:rPr>
        <w:t xml:space="preserve"> vizsgálólaboratóriumot üzemeltethet, </w:t>
      </w:r>
    </w:p>
    <w:p w14:paraId="011177C0" w14:textId="77777777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proofErr w:type="spellStart"/>
      <w:r w:rsidRPr="00F734C8">
        <w:rPr>
          <w:rFonts w:ascii="Arial" w:hAnsi="Arial" w:cs="Arial"/>
          <w:i/>
          <w:iCs/>
          <w:sz w:val="20"/>
          <w:szCs w:val="20"/>
        </w:rPr>
        <w:t>cb</w:t>
      </w:r>
      <w:proofErr w:type="spellEnd"/>
      <w:r w:rsidRPr="00F734C8">
        <w:rPr>
          <w:rFonts w:ascii="Arial" w:hAnsi="Arial" w:cs="Arial"/>
          <w:i/>
          <w:iCs/>
          <w:sz w:val="20"/>
          <w:szCs w:val="20"/>
        </w:rPr>
        <w:t>)</w:t>
      </w:r>
      <w:r w:rsidRPr="003922C1">
        <w:rPr>
          <w:rFonts w:ascii="Arial" w:hAnsi="Arial" w:cs="Arial"/>
          <w:iCs/>
          <w:sz w:val="20"/>
          <w:szCs w:val="20"/>
        </w:rPr>
        <w:t xml:space="preserve"> a járványügy területén, mely feladatok ellátásához vizsgálólaboratóriumot üzemeltethet, </w:t>
      </w:r>
    </w:p>
    <w:p w14:paraId="162BAA0A" w14:textId="77777777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F734C8">
        <w:rPr>
          <w:rFonts w:ascii="Arial" w:hAnsi="Arial" w:cs="Arial"/>
          <w:i/>
          <w:iCs/>
          <w:sz w:val="20"/>
          <w:szCs w:val="20"/>
        </w:rPr>
        <w:t>cc)</w:t>
      </w:r>
      <w:r w:rsidRPr="003922C1">
        <w:rPr>
          <w:rFonts w:ascii="Arial" w:hAnsi="Arial" w:cs="Arial"/>
          <w:iCs/>
          <w:sz w:val="20"/>
          <w:szCs w:val="20"/>
        </w:rPr>
        <w:t xml:space="preserve"> az egészségfejlesztés (egészségvédelem, egészségnevelés és egészségmegőrzés, népegészségügyi szűrések szervezése és koordinálása, egészségmonitorozás, beleértve a nem fertőző betegségek epidemiológiáját, az egészséghatás-értékelést) területén, </w:t>
      </w:r>
    </w:p>
    <w:p w14:paraId="2426F855" w14:textId="77777777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F734C8">
        <w:rPr>
          <w:rFonts w:ascii="Arial" w:hAnsi="Arial" w:cs="Arial"/>
          <w:i/>
          <w:iCs/>
          <w:sz w:val="20"/>
          <w:szCs w:val="20"/>
        </w:rPr>
        <w:t>cd)</w:t>
      </w:r>
      <w:r w:rsidRPr="003922C1">
        <w:rPr>
          <w:rFonts w:ascii="Arial" w:hAnsi="Arial" w:cs="Arial"/>
          <w:iCs/>
          <w:sz w:val="20"/>
          <w:szCs w:val="20"/>
        </w:rPr>
        <w:t xml:space="preserve"> az </w:t>
      </w:r>
      <w:r w:rsidRPr="003922C1">
        <w:rPr>
          <w:rFonts w:ascii="Arial" w:hAnsi="Arial" w:cs="Arial"/>
          <w:b/>
          <w:bCs/>
          <w:iCs/>
          <w:sz w:val="20"/>
          <w:szCs w:val="20"/>
        </w:rPr>
        <w:t xml:space="preserve">egészségügyi igazgatás </w:t>
      </w:r>
      <w:r w:rsidRPr="003922C1">
        <w:rPr>
          <w:rFonts w:ascii="Arial" w:hAnsi="Arial" w:cs="Arial"/>
          <w:iCs/>
          <w:sz w:val="20"/>
          <w:szCs w:val="20"/>
        </w:rPr>
        <w:t xml:space="preserve">és koordináció területén, </w:t>
      </w:r>
    </w:p>
    <w:p w14:paraId="0611AACA" w14:textId="77777777" w:rsidR="003922C1" w:rsidRPr="003922C1" w:rsidRDefault="003922C1" w:rsidP="00EF1A40">
      <w:pPr>
        <w:pStyle w:val="Listaszerbekezds"/>
        <w:spacing w:line="276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F734C8">
        <w:rPr>
          <w:rFonts w:ascii="Arial" w:hAnsi="Arial" w:cs="Arial"/>
          <w:i/>
          <w:iCs/>
          <w:sz w:val="20"/>
          <w:szCs w:val="20"/>
        </w:rPr>
        <w:t>d)</w:t>
      </w:r>
      <w:r w:rsidRPr="003922C1">
        <w:rPr>
          <w:rFonts w:ascii="Arial" w:hAnsi="Arial" w:cs="Arial"/>
          <w:iCs/>
          <w:sz w:val="20"/>
          <w:szCs w:val="20"/>
        </w:rPr>
        <w:t xml:space="preserve"> ellátja a jogszabályban a feladatkörébe utalt, az egészségügyi szolgáltatók feletti szakfelügyelet működtetésével összefüggő feladatokat, </w:t>
      </w:r>
    </w:p>
    <w:p w14:paraId="6ED1B14D" w14:textId="77777777" w:rsidR="003B78C0" w:rsidRPr="003922C1" w:rsidRDefault="003922C1" w:rsidP="00EF1A40">
      <w:pPr>
        <w:pStyle w:val="Listaszerbekezds"/>
        <w:spacing w:after="120" w:line="276" w:lineRule="auto"/>
        <w:ind w:left="1077"/>
        <w:jc w:val="both"/>
        <w:rPr>
          <w:rFonts w:ascii="Arial" w:hAnsi="Arial" w:cs="Arial"/>
          <w:sz w:val="20"/>
          <w:szCs w:val="20"/>
        </w:rPr>
      </w:pPr>
      <w:r w:rsidRPr="00F734C8">
        <w:rPr>
          <w:rFonts w:ascii="Arial" w:hAnsi="Arial" w:cs="Arial"/>
          <w:i/>
          <w:iCs/>
          <w:sz w:val="20"/>
          <w:szCs w:val="20"/>
        </w:rPr>
        <w:t>e</w:t>
      </w:r>
      <w:r w:rsidR="00F734C8" w:rsidRPr="00F734C8">
        <w:rPr>
          <w:rFonts w:ascii="Arial" w:hAnsi="Arial" w:cs="Arial"/>
          <w:i/>
          <w:iCs/>
          <w:sz w:val="20"/>
          <w:szCs w:val="20"/>
        </w:rPr>
        <w:t>)</w:t>
      </w:r>
      <w:r w:rsidRPr="003922C1">
        <w:rPr>
          <w:rFonts w:ascii="Arial" w:hAnsi="Arial" w:cs="Arial"/>
          <w:iCs/>
          <w:sz w:val="20"/>
          <w:szCs w:val="20"/>
        </w:rPr>
        <w:t xml:space="preserve"> ellátja az egészségügyi szolgáltatók jogszabályban meghatározott, az infekciókontrollra vonatkozó kötelezettségeivel kapcsolatos hatósági feladatokat.”</w:t>
      </w:r>
    </w:p>
    <w:p w14:paraId="7D8BDC14" w14:textId="62FF66AB" w:rsidR="003B78C0" w:rsidRPr="003922C1" w:rsidRDefault="003B78C0" w:rsidP="00EF1A40">
      <w:pPr>
        <w:numPr>
          <w:ilvl w:val="0"/>
          <w:numId w:val="2"/>
        </w:numPr>
        <w:spacing w:after="12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3922C1">
        <w:rPr>
          <w:rFonts w:ascii="Arial" w:hAnsi="Arial" w:cs="Arial"/>
          <w:b/>
          <w:i/>
          <w:sz w:val="20"/>
          <w:szCs w:val="20"/>
        </w:rPr>
        <w:t>14. környezetvédelem 2024.06.30-ig</w:t>
      </w:r>
      <w:r w:rsidRPr="003922C1">
        <w:rPr>
          <w:rFonts w:ascii="Arial" w:hAnsi="Arial" w:cs="Arial"/>
          <w:i/>
          <w:sz w:val="20"/>
          <w:szCs w:val="20"/>
        </w:rPr>
        <w:t xml:space="preserve"> (kiegészítés)</w:t>
      </w:r>
      <w:r w:rsidR="003922C1">
        <w:rPr>
          <w:rFonts w:ascii="Arial" w:hAnsi="Arial" w:cs="Arial"/>
          <w:i/>
          <w:sz w:val="20"/>
          <w:szCs w:val="20"/>
        </w:rPr>
        <w:t xml:space="preserve">: </w:t>
      </w:r>
      <w:r w:rsidR="00D47AAD">
        <w:rPr>
          <w:rFonts w:ascii="Arial" w:hAnsi="Arial" w:cs="Arial"/>
          <w:i/>
          <w:sz w:val="20"/>
          <w:szCs w:val="20"/>
        </w:rPr>
        <w:t xml:space="preserve">A </w:t>
      </w:r>
      <w:r w:rsidR="003922C1" w:rsidRPr="003922C1">
        <w:rPr>
          <w:rFonts w:ascii="Arial" w:hAnsi="Arial" w:cs="Arial"/>
          <w:sz w:val="20"/>
          <w:szCs w:val="20"/>
        </w:rPr>
        <w:t>2024.</w:t>
      </w:r>
      <w:r w:rsidR="00D47AAD">
        <w:rPr>
          <w:rFonts w:ascii="Arial" w:hAnsi="Arial" w:cs="Arial"/>
          <w:sz w:val="20"/>
          <w:szCs w:val="20"/>
        </w:rPr>
        <w:t xml:space="preserve"> július 1. napjától</w:t>
      </w:r>
      <w:r w:rsidR="003922C1" w:rsidRPr="003922C1">
        <w:rPr>
          <w:rFonts w:ascii="Arial" w:hAnsi="Arial" w:cs="Arial"/>
          <w:sz w:val="20"/>
          <w:szCs w:val="20"/>
        </w:rPr>
        <w:t xml:space="preserve"> indult komplex eljárásoknál ismét kétfokú az eljárás, a másodfokon eljáró szerv az Energiaügyi Minisztérium. (1995. évi LIII. törvény 71/A. §, 314/2005. (XII. 25.) Korm. rendelet </w:t>
      </w:r>
      <w:r w:rsidR="00502A0A">
        <w:rPr>
          <w:rFonts w:ascii="Arial" w:hAnsi="Arial" w:cs="Arial"/>
          <w:sz w:val="20"/>
          <w:szCs w:val="20"/>
        </w:rPr>
        <w:br/>
      </w:r>
      <w:r w:rsidR="003922C1" w:rsidRPr="003922C1">
        <w:rPr>
          <w:rFonts w:ascii="Arial" w:hAnsi="Arial" w:cs="Arial"/>
          <w:sz w:val="20"/>
          <w:szCs w:val="20"/>
        </w:rPr>
        <w:t>26/A. § és 624/2022. (XII. 3</w:t>
      </w:r>
      <w:r w:rsidR="00B44695">
        <w:rPr>
          <w:rFonts w:ascii="Arial" w:hAnsi="Arial" w:cs="Arial"/>
          <w:sz w:val="20"/>
          <w:szCs w:val="20"/>
        </w:rPr>
        <w:t>0.) Korm. rendelet 1. § (2) bekezdés.</w:t>
      </w:r>
      <w:r w:rsidR="003922C1" w:rsidRPr="003922C1">
        <w:rPr>
          <w:rFonts w:ascii="Arial" w:hAnsi="Arial" w:cs="Arial"/>
          <w:sz w:val="20"/>
          <w:szCs w:val="20"/>
        </w:rPr>
        <w:t>)</w:t>
      </w:r>
    </w:p>
    <w:p w14:paraId="7986F2A8" w14:textId="77777777" w:rsidR="003B78C0" w:rsidRPr="003B78C0" w:rsidRDefault="003B78C0" w:rsidP="003B78C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9181FED" w14:textId="46E34E13" w:rsidR="003B78C0" w:rsidRDefault="003B78C0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936FCC1" w14:textId="6D8B4763" w:rsidR="00502A0A" w:rsidRDefault="00502A0A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33E818D" w14:textId="5FFCB6F1" w:rsidR="00502A0A" w:rsidRDefault="00502A0A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D0328A5" w14:textId="77777777" w:rsidR="00502A0A" w:rsidRDefault="00502A0A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D8D9B8B" w14:textId="77777777" w:rsidR="003B78C0" w:rsidRDefault="003B78C0" w:rsidP="003B78C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Töröl</w:t>
      </w:r>
      <w:r w:rsidR="00155F8F">
        <w:rPr>
          <w:rFonts w:ascii="Arial" w:hAnsi="Arial" w:cs="Arial"/>
          <w:b/>
          <w:sz w:val="20"/>
          <w:szCs w:val="20"/>
        </w:rPr>
        <w:t>t</w:t>
      </w:r>
      <w:r>
        <w:rPr>
          <w:rFonts w:ascii="Arial" w:hAnsi="Arial" w:cs="Arial"/>
          <w:b/>
          <w:sz w:val="20"/>
          <w:szCs w:val="20"/>
        </w:rPr>
        <w:t xml:space="preserve"> hatásköri sor</w:t>
      </w:r>
      <w:r w:rsidR="00155F8F">
        <w:rPr>
          <w:rFonts w:ascii="Arial" w:hAnsi="Arial" w:cs="Arial"/>
          <w:b/>
          <w:sz w:val="20"/>
          <w:szCs w:val="20"/>
        </w:rPr>
        <w:t xml:space="preserve"> (emiatt változik a számozás is)</w:t>
      </w:r>
    </w:p>
    <w:p w14:paraId="7C94F22B" w14:textId="77777777" w:rsidR="003B78C0" w:rsidRDefault="003B78C0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91B512E" w14:textId="7B12A22F" w:rsidR="003922C1" w:rsidRPr="003B78C0" w:rsidRDefault="003922C1" w:rsidP="00EF1A40">
      <w:pPr>
        <w:numPr>
          <w:ilvl w:val="0"/>
          <w:numId w:val="2"/>
        </w:numPr>
        <w:spacing w:after="240" w:line="276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155F8F">
        <w:rPr>
          <w:rFonts w:ascii="Arial" w:hAnsi="Arial" w:cs="Arial"/>
          <w:b/>
          <w:i/>
          <w:sz w:val="20"/>
          <w:szCs w:val="20"/>
        </w:rPr>
        <w:t>10. hulladékgazdálkodás</w:t>
      </w:r>
      <w:r w:rsidR="00155F8F" w:rsidRPr="0059549E">
        <w:rPr>
          <w:rFonts w:ascii="Arial" w:hAnsi="Arial" w:cs="Arial"/>
          <w:i/>
          <w:sz w:val="20"/>
          <w:szCs w:val="20"/>
        </w:rPr>
        <w:t>:</w:t>
      </w:r>
      <w:r w:rsidR="00155F8F" w:rsidRPr="0059549E">
        <w:rPr>
          <w:rFonts w:ascii="Arial" w:hAnsi="Arial" w:cs="Arial"/>
          <w:sz w:val="20"/>
          <w:szCs w:val="20"/>
        </w:rPr>
        <w:t xml:space="preserve"> </w:t>
      </w:r>
      <w:r w:rsidR="00155F8F" w:rsidRPr="00155F8F">
        <w:rPr>
          <w:rFonts w:ascii="Arial" w:hAnsi="Arial" w:cs="Arial"/>
          <w:sz w:val="20"/>
          <w:szCs w:val="20"/>
        </w:rPr>
        <w:t xml:space="preserve">A hulladékgazdálkodási hatóság kijelöléséről szóló </w:t>
      </w:r>
      <w:r w:rsidR="00502A0A">
        <w:rPr>
          <w:rFonts w:ascii="Arial" w:hAnsi="Arial" w:cs="Arial"/>
          <w:sz w:val="20"/>
          <w:szCs w:val="20"/>
        </w:rPr>
        <w:br/>
      </w:r>
      <w:r w:rsidR="00155F8F" w:rsidRPr="00155F8F">
        <w:rPr>
          <w:rFonts w:ascii="Arial" w:hAnsi="Arial" w:cs="Arial"/>
          <w:sz w:val="20"/>
          <w:szCs w:val="20"/>
        </w:rPr>
        <w:t>124/2021. (III. 12.) Korm. rendelet rendelkezései alapján másodfokú hulladékgazdálkodási hatáskört a kormányhivatal nem gyakorol, mert hulladékgazdálkodási hatóság kizárólag a területi hulladékgazdálkodási hatóság és a minisztériumi hulladékgazdálkodási hatóság.</w:t>
      </w:r>
    </w:p>
    <w:p w14:paraId="280651C4" w14:textId="7D3B2DC3" w:rsidR="00E66418" w:rsidRDefault="00E66418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1B580EF" w14:textId="6B2017A1" w:rsidR="00502A0A" w:rsidRDefault="00502A0A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57B9004" w14:textId="77777777" w:rsidR="00155F8F" w:rsidRPr="006F7541" w:rsidRDefault="00155F8F" w:rsidP="00155F8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F7541">
        <w:rPr>
          <w:rFonts w:ascii="Arial" w:hAnsi="Arial" w:cs="Arial"/>
          <w:b/>
          <w:sz w:val="20"/>
          <w:szCs w:val="20"/>
        </w:rPr>
        <w:t>Járási hivatali hatáskörök</w:t>
      </w:r>
    </w:p>
    <w:p w14:paraId="4050ABB1" w14:textId="77777777" w:rsidR="00E66418" w:rsidRDefault="00E66418" w:rsidP="00B5351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D76EA7" w14:textId="77777777" w:rsidR="00155F8F" w:rsidRDefault="00155F8F" w:rsidP="00155F8F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155F8F">
        <w:rPr>
          <w:rFonts w:ascii="Arial" w:hAnsi="Arial" w:cs="Arial"/>
          <w:b/>
          <w:sz w:val="20"/>
          <w:szCs w:val="20"/>
          <w:u w:val="single"/>
        </w:rPr>
        <w:t>JH/1. tábla</w:t>
      </w:r>
    </w:p>
    <w:p w14:paraId="70BCF633" w14:textId="77777777" w:rsidR="00155F8F" w:rsidRDefault="00155F8F" w:rsidP="00155F8F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1C3DF459" w14:textId="77777777" w:rsidR="00155F8F" w:rsidRPr="00155F8F" w:rsidRDefault="00155F8F" w:rsidP="00155F8F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155F8F">
        <w:rPr>
          <w:rFonts w:ascii="Arial" w:hAnsi="Arial" w:cs="Arial"/>
          <w:b/>
          <w:sz w:val="20"/>
          <w:szCs w:val="20"/>
        </w:rPr>
        <w:t>Törölt hatásköri sorok (emiatt változik a számozás is)</w:t>
      </w:r>
    </w:p>
    <w:p w14:paraId="0FD3AA84" w14:textId="77777777" w:rsidR="00155F8F" w:rsidRPr="00155F8F" w:rsidRDefault="00155F8F" w:rsidP="00155F8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6413590" w14:textId="14E4CCC7" w:rsidR="00155F8F" w:rsidRPr="00F734C8" w:rsidRDefault="00155F8F" w:rsidP="00EF1A40">
      <w:pPr>
        <w:pStyle w:val="Listaszerbekezds"/>
        <w:numPr>
          <w:ilvl w:val="0"/>
          <w:numId w:val="2"/>
        </w:numPr>
        <w:spacing w:after="120"/>
        <w:ind w:left="1077" w:hanging="357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155F8F">
        <w:rPr>
          <w:rFonts w:ascii="Arial" w:hAnsi="Arial" w:cs="Arial"/>
          <w:b/>
          <w:i/>
          <w:sz w:val="20"/>
          <w:szCs w:val="20"/>
        </w:rPr>
        <w:t>10. ingatlanvállalkozás felügyelet</w:t>
      </w:r>
      <w:r w:rsidRPr="0059549E"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F734C8" w:rsidRPr="00F734C8">
        <w:rPr>
          <w:rFonts w:ascii="Arial" w:hAnsi="Arial" w:cs="Arial"/>
          <w:sz w:val="20"/>
          <w:szCs w:val="20"/>
        </w:rPr>
        <w:t xml:space="preserve">A társasházkezelő, az ingatlankezelő, az ingatlanközvetítő, valamint az ingatlanvagyon-értékelő és -közvetítő szolgáltatói tevékenység üzletszerűen történő végzésének feltételeiről és a nyilvántartásba vétel részletes szabályairól szóló 499/2017. (XII. 29.) Korm. rendelet 1. § a) pontja és </w:t>
      </w:r>
      <w:r w:rsidR="00502A0A">
        <w:rPr>
          <w:rFonts w:ascii="Arial" w:hAnsi="Arial" w:cs="Arial"/>
          <w:sz w:val="20"/>
          <w:szCs w:val="20"/>
        </w:rPr>
        <w:br/>
      </w:r>
      <w:r w:rsidR="00F734C8" w:rsidRPr="00F734C8">
        <w:rPr>
          <w:rFonts w:ascii="Arial" w:hAnsi="Arial" w:cs="Arial"/>
          <w:sz w:val="20"/>
          <w:szCs w:val="20"/>
        </w:rPr>
        <w:t xml:space="preserve">2. § a) pontja az üzletszerű társasházkezelői és üzletszerű ingatlankezelői tevékenység tekintetében hatóságként a szolgáltató lakóhelye vagy székhelye szerint illetékes fővárosi és vármegyei kormányhivatal járási (fővárosi kerületi) hivatalát jelöli ki, mely hatáskört az adattábla 23. sorszámú </w:t>
      </w:r>
      <w:r w:rsidR="00F734C8">
        <w:rPr>
          <w:rFonts w:ascii="Arial" w:hAnsi="Arial" w:cs="Arial"/>
          <w:sz w:val="20"/>
          <w:szCs w:val="20"/>
        </w:rPr>
        <w:t>(üzletszerűen végzett tárasházkezelői és ingatlankezelői tevékenységgel kapcsolatos feladatok)</w:t>
      </w:r>
      <w:r w:rsidR="00F734C8" w:rsidRPr="00F734C8">
        <w:rPr>
          <w:rFonts w:ascii="Arial" w:hAnsi="Arial" w:cs="Arial"/>
          <w:sz w:val="20"/>
          <w:szCs w:val="20"/>
        </w:rPr>
        <w:t xml:space="preserve"> </w:t>
      </w:r>
      <w:r w:rsidR="00F734C8">
        <w:rPr>
          <w:rFonts w:ascii="Arial" w:hAnsi="Arial" w:cs="Arial"/>
          <w:sz w:val="20"/>
          <w:szCs w:val="20"/>
        </w:rPr>
        <w:t xml:space="preserve">hatásköri sora </w:t>
      </w:r>
      <w:r w:rsidR="00F734C8" w:rsidRPr="00F734C8">
        <w:rPr>
          <w:rFonts w:ascii="Arial" w:hAnsi="Arial" w:cs="Arial"/>
          <w:sz w:val="20"/>
          <w:szCs w:val="20"/>
        </w:rPr>
        <w:t>rögzíti, ugyanakkor a kormányrendelet az üzletszerű ingatlanközvetítői, valamint az üzletszerű ingatlanvagyon-értékelő és -közvetítői tevékenység tekintetében, ingatlanvállalkozás-felügyeleti hatóságként a szolgáltató lakóhelye vagy székhelye szerint illetékes vármegyeszékhely szerinti városi önkormányzat jegyzőjét, Pest vármegyében a vármegyei önkormányzat főjegyzőjét, Budapesten a Fővárosi Önkormányzat Főjegyzőjét jelöli ki.</w:t>
      </w:r>
    </w:p>
    <w:p w14:paraId="4EB0A436" w14:textId="77777777" w:rsidR="00E66418" w:rsidRPr="00F734C8" w:rsidRDefault="00155F8F" w:rsidP="00EF1A40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734C8">
        <w:rPr>
          <w:rFonts w:ascii="Arial" w:hAnsi="Arial" w:cs="Arial"/>
          <w:b/>
          <w:i/>
          <w:sz w:val="20"/>
          <w:szCs w:val="20"/>
        </w:rPr>
        <w:t>20. természetvédelem</w:t>
      </w:r>
      <w:r w:rsidRPr="0059549E">
        <w:rPr>
          <w:rFonts w:ascii="Arial" w:hAnsi="Arial" w:cs="Arial"/>
          <w:i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155F8F">
        <w:rPr>
          <w:rFonts w:ascii="Arial" w:hAnsi="Arial" w:cs="Arial"/>
          <w:sz w:val="20"/>
          <w:szCs w:val="20"/>
        </w:rPr>
        <w:t>A járási hivatalnak nincs ilyen hatásköre. A járási hivatal környezetvédelmi hatáskörrel rendelkezik, amely a 11. pontban szerepel.</w:t>
      </w:r>
    </w:p>
    <w:sectPr w:rsidR="00E66418" w:rsidRPr="00F734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E312D"/>
    <w:multiLevelType w:val="hybridMultilevel"/>
    <w:tmpl w:val="AF0ABA42"/>
    <w:lvl w:ilvl="0" w:tplc="4290109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4300B7"/>
    <w:multiLevelType w:val="hybridMultilevel"/>
    <w:tmpl w:val="BDA4EBEE"/>
    <w:lvl w:ilvl="0" w:tplc="910E62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A43CA"/>
    <w:multiLevelType w:val="hybridMultilevel"/>
    <w:tmpl w:val="F21CD7DA"/>
    <w:lvl w:ilvl="0" w:tplc="0A7EC1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822C4"/>
    <w:multiLevelType w:val="hybridMultilevel"/>
    <w:tmpl w:val="EDD6EDD8"/>
    <w:lvl w:ilvl="0" w:tplc="BCE429DA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91089C"/>
    <w:multiLevelType w:val="hybridMultilevel"/>
    <w:tmpl w:val="EF22B3C2"/>
    <w:lvl w:ilvl="0" w:tplc="D8C0B9F8">
      <w:numFmt w:val="bullet"/>
      <w:lvlText w:val=""/>
      <w:lvlJc w:val="left"/>
      <w:pPr>
        <w:ind w:left="1068" w:hanging="360"/>
      </w:pPr>
      <w:rPr>
        <w:rFonts w:ascii="Wingdings" w:eastAsiaTheme="minorHAnsi" w:hAnsi="Wingdings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57114462">
    <w:abstractNumId w:val="1"/>
  </w:num>
  <w:num w:numId="2" w16cid:durableId="735475359">
    <w:abstractNumId w:val="3"/>
  </w:num>
  <w:num w:numId="3" w16cid:durableId="2014915720">
    <w:abstractNumId w:val="4"/>
  </w:num>
  <w:num w:numId="4" w16cid:durableId="972908321">
    <w:abstractNumId w:val="2"/>
  </w:num>
  <w:num w:numId="5" w16cid:durableId="434906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38"/>
    <w:rsid w:val="00092B02"/>
    <w:rsid w:val="00151148"/>
    <w:rsid w:val="00155F8F"/>
    <w:rsid w:val="001B5C38"/>
    <w:rsid w:val="003922C1"/>
    <w:rsid w:val="003B78C0"/>
    <w:rsid w:val="00502A0A"/>
    <w:rsid w:val="00537065"/>
    <w:rsid w:val="0059549E"/>
    <w:rsid w:val="005E4B16"/>
    <w:rsid w:val="00713527"/>
    <w:rsid w:val="009860B2"/>
    <w:rsid w:val="00A95F4D"/>
    <w:rsid w:val="00B44695"/>
    <w:rsid w:val="00B53518"/>
    <w:rsid w:val="00D47AAD"/>
    <w:rsid w:val="00D539CA"/>
    <w:rsid w:val="00E66418"/>
    <w:rsid w:val="00EF1A40"/>
    <w:rsid w:val="00F7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E7976"/>
  <w15:chartTrackingRefBased/>
  <w15:docId w15:val="{CE464506-C5BD-4DED-8AAB-2E169852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5C3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37065"/>
    <w:pPr>
      <w:ind w:left="720"/>
      <w:contextualSpacing/>
    </w:pPr>
  </w:style>
  <w:style w:type="paragraph" w:styleId="Vltozat">
    <w:name w:val="Revision"/>
    <w:hidden/>
    <w:uiPriority w:val="99"/>
    <w:semiHidden/>
    <w:rsid w:val="005E4B16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F1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1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1272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Szántó Noémi</dc:creator>
  <cp:keywords/>
  <dc:description/>
  <cp:lastModifiedBy>Medve Máté dr.</cp:lastModifiedBy>
  <cp:revision>8</cp:revision>
  <dcterms:created xsi:type="dcterms:W3CDTF">2024-11-18T15:17:00Z</dcterms:created>
  <dcterms:modified xsi:type="dcterms:W3CDTF">2024-11-22T10:13:00Z</dcterms:modified>
</cp:coreProperties>
</file>